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tabs>
          <w:tab w:val="right" w:pos="9639"/>
        </w:tabs>
        <w:spacing w:after="0"/>
        <w:outlineLvl w:val="0"/>
        <w:rPr>
          <w:rFonts w:hint="default" w:eastAsia="宋体"/>
          <w:b/>
          <w:sz w:val="24"/>
          <w:lang w:val="en-US" w:eastAsia="zh-CN"/>
        </w:rPr>
      </w:pPr>
      <w:bookmarkStart w:id="0" w:name="_Hlt450039480"/>
      <w:bookmarkEnd w:id="0"/>
      <w:bookmarkStart w:id="1" w:name="_Hlt450051172"/>
      <w:bookmarkEnd w:id="1"/>
      <w:bookmarkStart w:id="2" w:name="_Hlt450066087"/>
      <w:bookmarkEnd w:id="2"/>
      <w:bookmarkStart w:id="3" w:name="_Hlt450066085"/>
      <w:bookmarkEnd w:id="3"/>
      <w:bookmarkStart w:id="4" w:name="_Hlt449016246"/>
      <w:bookmarkEnd w:id="4"/>
      <w:bookmarkStart w:id="5" w:name="_Hlt448930105"/>
      <w:bookmarkEnd w:id="5"/>
      <w:r>
        <w:rPr>
          <w:rFonts w:ascii="Arial" w:hAnsi="Arial" w:eastAsia="宋体" w:cs="Arial"/>
          <w:b/>
          <w:sz w:val="24"/>
          <w:szCs w:val="24"/>
          <w:lang w:eastAsia="zh-CN"/>
        </w:rPr>
        <w:t>3GPP TSG-RAN WG4 Meeting #113</w:t>
      </w:r>
      <w:r>
        <w:rPr>
          <w:b/>
          <w:i/>
          <w:sz w:val="28"/>
        </w:rPr>
        <w:tab/>
      </w:r>
      <w:r>
        <w:rPr>
          <w:rFonts w:hint="eastAsia"/>
          <w:b/>
          <w:sz w:val="24"/>
        </w:rPr>
        <w:t>R4-2</w:t>
      </w:r>
      <w:r>
        <w:rPr>
          <w:rFonts w:hint="eastAsia" w:eastAsia="宋体"/>
          <w:b/>
          <w:sz w:val="24"/>
          <w:lang w:val="en-US" w:eastAsia="zh-CN"/>
        </w:rPr>
        <w:t>418368</w:t>
      </w:r>
      <w:bookmarkStart w:id="8" w:name="_GoBack"/>
      <w:bookmarkEnd w:id="8"/>
    </w:p>
    <w:p>
      <w:pPr>
        <w:pStyle w:val="17"/>
        <w:tabs>
          <w:tab w:val="right" w:pos="9781"/>
          <w:tab w:val="right" w:pos="13323"/>
          <w:tab w:val="clear" w:pos="4680"/>
          <w:tab w:val="clear" w:pos="9360"/>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Orlando, US,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22</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November, 2024</w:t>
      </w:r>
    </w:p>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6" w:name="OLE_LINK8"/>
      <w:bookmarkStart w:id="7" w:name="OLE_LINK14"/>
      <w:r>
        <w:rPr>
          <w:rFonts w:hint="eastAsia" w:ascii="Arial" w:hAnsi="Arial"/>
          <w:b/>
          <w:sz w:val="24"/>
          <w:highlight w:val="none"/>
          <w:lang w:val="en-US" w:eastAsia="zh-CN"/>
        </w:rPr>
        <w:t>D</w:t>
      </w:r>
      <w:r>
        <w:rPr>
          <w:rStyle w:val="60"/>
          <w:rFonts w:hint="eastAsia"/>
          <w:b/>
          <w:highlight w:val="none"/>
          <w:lang w:val="pt-BR" w:eastAsia="zh-CN"/>
        </w:rPr>
        <w:t>iscussion on</w:t>
      </w:r>
      <w:bookmarkEnd w:id="6"/>
      <w:bookmarkEnd w:id="7"/>
      <w:r>
        <w:rPr>
          <w:rStyle w:val="60"/>
          <w:rFonts w:hint="eastAsia"/>
          <w:b/>
          <w:highlight w:val="none"/>
          <w:lang w:val="en-US" w:eastAsia="zh-CN"/>
        </w:rPr>
        <w:t xml:space="preserve"> SAN RF requirements for NR NTN Ku band</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7.9.5</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eastAsia"/>
          <w:i w:val="0"/>
          <w:iCs w:val="0"/>
          <w:sz w:val="20"/>
          <w:szCs w:val="20"/>
          <w:lang w:val="en-US" w:eastAsia="zh-CN"/>
        </w:rPr>
        <w:t>In</w:t>
      </w:r>
      <w:r>
        <w:rPr>
          <w:rFonts w:hint="default"/>
          <w:i w:val="0"/>
          <w:iCs w:val="0"/>
          <w:sz w:val="20"/>
          <w:szCs w:val="20"/>
          <w:lang w:val="en-US" w:eastAsia="zh-CN"/>
        </w:rPr>
        <w:t xml:space="preserve"> RAN#</w:t>
      </w:r>
      <w:r>
        <w:rPr>
          <w:rFonts w:hint="eastAsia"/>
          <w:i w:val="0"/>
          <w:iCs w:val="0"/>
          <w:sz w:val="20"/>
          <w:szCs w:val="20"/>
          <w:lang w:val="en-US" w:eastAsia="zh-CN"/>
        </w:rPr>
        <w:t>104</w:t>
      </w:r>
      <w:r>
        <w:rPr>
          <w:rFonts w:hint="default"/>
          <w:i w:val="0"/>
          <w:iCs w:val="0"/>
          <w:sz w:val="20"/>
          <w:szCs w:val="20"/>
          <w:lang w:val="en-US" w:eastAsia="zh-CN"/>
        </w:rPr>
        <w:t xml:space="preserve"> meeting, a</w:t>
      </w:r>
      <w:r>
        <w:rPr>
          <w:rFonts w:hint="eastAsia"/>
          <w:i w:val="0"/>
          <w:iCs w:val="0"/>
          <w:sz w:val="20"/>
          <w:szCs w:val="20"/>
          <w:lang w:val="en-US" w:eastAsia="zh-CN"/>
        </w:rPr>
        <w:t xml:space="preserve"> new</w:t>
      </w:r>
      <w:r>
        <w:rPr>
          <w:rFonts w:hint="default"/>
          <w:i w:val="0"/>
          <w:iCs w:val="0"/>
          <w:sz w:val="20"/>
          <w:szCs w:val="20"/>
          <w:lang w:val="en-US" w:eastAsia="zh-CN"/>
        </w:rPr>
        <w:t xml:space="preserve"> Work Item [1] </w:t>
      </w:r>
      <w:r>
        <w:rPr>
          <w:rFonts w:hint="eastAsia"/>
          <w:i w:val="0"/>
          <w:iCs w:val="0"/>
          <w:sz w:val="20"/>
          <w:szCs w:val="20"/>
          <w:lang w:val="en-US" w:eastAsia="zh-CN"/>
        </w:rPr>
        <w:t>was</w:t>
      </w:r>
      <w:r>
        <w:rPr>
          <w:rFonts w:hint="default"/>
          <w:i w:val="0"/>
          <w:iCs w:val="0"/>
          <w:sz w:val="20"/>
          <w:szCs w:val="20"/>
          <w:lang w:val="en-US" w:eastAsia="zh-CN"/>
        </w:rPr>
        <w:t xml:space="preserve"> approved on </w:t>
      </w:r>
      <w:r>
        <w:rPr>
          <w:rFonts w:hint="eastAsia"/>
          <w:i w:val="0"/>
          <w:iCs w:val="0"/>
          <w:sz w:val="20"/>
          <w:szCs w:val="20"/>
          <w:lang w:val="en-US" w:eastAsia="zh-CN"/>
        </w:rPr>
        <w:t>introduction of Ku Band for NR NTN</w:t>
      </w:r>
      <w:r>
        <w:rPr>
          <w:rFonts w:hint="default"/>
          <w:i w:val="0"/>
          <w:iCs w:val="0"/>
          <w:sz w:val="20"/>
          <w:szCs w:val="20"/>
          <w:lang w:val="en-US" w:eastAsia="zh-CN"/>
        </w:rPr>
        <w:t xml:space="preserve"> for NR NTN</w:t>
      </w:r>
      <w:r>
        <w:rPr>
          <w:rFonts w:hint="eastAsia"/>
          <w:i w:val="0"/>
          <w:iCs w:val="0"/>
          <w:sz w:val="20"/>
          <w:szCs w:val="20"/>
          <w:lang w:val="en-US" w:eastAsia="zh-CN"/>
        </w:rPr>
        <w:t xml:space="preserve"> with the following RAN4 objective</w:t>
      </w:r>
      <w:r>
        <w:rPr>
          <w:rFonts w:hint="default"/>
          <w:i w:val="0"/>
          <w:iCs w:val="0"/>
          <w:sz w:val="20"/>
          <w:szCs w:val="20"/>
          <w:lang w:val="en-US" w:eastAsia="zh-CN"/>
        </w:rPr>
        <w:t xml:space="preserve">. In this contribution, we want to share some </w:t>
      </w:r>
      <w:r>
        <w:rPr>
          <w:rFonts w:hint="eastAsia"/>
          <w:i w:val="0"/>
          <w:iCs w:val="0"/>
          <w:sz w:val="20"/>
          <w:szCs w:val="20"/>
          <w:lang w:val="en-US" w:eastAsia="zh-CN"/>
        </w:rPr>
        <w:t>initial</w:t>
      </w:r>
      <w:r>
        <w:rPr>
          <w:rFonts w:hint="default"/>
          <w:i w:val="0"/>
          <w:iCs w:val="0"/>
          <w:sz w:val="20"/>
          <w:szCs w:val="20"/>
          <w:lang w:val="en-US" w:eastAsia="zh-CN"/>
        </w:rPr>
        <w:t xml:space="preserve"> views </w:t>
      </w:r>
      <w:r>
        <w:rPr>
          <w:rFonts w:hint="eastAsia"/>
          <w:i w:val="0"/>
          <w:iCs w:val="0"/>
          <w:sz w:val="20"/>
          <w:szCs w:val="20"/>
          <w:lang w:val="en-US" w:eastAsia="zh-CN"/>
        </w:rPr>
        <w:t xml:space="preserve">about NR NTN Ku band </w:t>
      </w:r>
      <w:r>
        <w:rPr>
          <w:rFonts w:hint="default"/>
          <w:i w:val="0"/>
          <w:iCs w:val="0"/>
          <w:sz w:val="20"/>
          <w:szCs w:val="20"/>
          <w:lang w:val="en-US" w:eastAsia="zh-CN"/>
        </w:rPr>
        <w:t xml:space="preserve">from </w:t>
      </w:r>
      <w:r>
        <w:rPr>
          <w:rFonts w:hint="eastAsia"/>
          <w:i w:val="0"/>
          <w:iCs w:val="0"/>
          <w:sz w:val="20"/>
          <w:szCs w:val="20"/>
          <w:lang w:val="en-US" w:eastAsia="zh-CN"/>
        </w:rPr>
        <w:t>SAN</w:t>
      </w:r>
      <w:r>
        <w:rPr>
          <w:rFonts w:hint="default"/>
          <w:i w:val="0"/>
          <w:iCs w:val="0"/>
          <w:sz w:val="20"/>
          <w:szCs w:val="20"/>
          <w:lang w:val="en-US" w:eastAsia="zh-CN"/>
        </w:rPr>
        <w:t xml:space="preserve"> RF requirements perspective.</w:t>
      </w:r>
    </w:p>
    <w:tbl>
      <w:tblPr>
        <w:tblStyle w:val="24"/>
        <w:tblW w:w="10160" w:type="dxa"/>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0" w:type="dxa"/>
          </w:tcPr>
          <w:p>
            <w:pPr>
              <w:overflowPunct w:val="0"/>
              <w:autoSpaceDE w:val="0"/>
              <w:autoSpaceDN w:val="0"/>
              <w:adjustRightInd w:val="0"/>
              <w:spacing w:after="0"/>
              <w:textAlignment w:val="baseline"/>
              <w:rPr>
                <w:bCs/>
                <w:sz w:val="20"/>
                <w:szCs w:val="20"/>
              </w:rPr>
            </w:pPr>
            <w:r>
              <w:rPr>
                <w:bCs/>
                <w:sz w:val="20"/>
                <w:szCs w:val="20"/>
              </w:rPr>
              <w:t>The following assumptions are taken as the baseline for this work:</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GSO and NGSO</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 xml:space="preserve">NTN capable UE type 1 to 5 (38.101-5 </w:t>
            </w:r>
            <w:r>
              <w:rPr>
                <w:sz w:val="20"/>
                <w:szCs w:val="20"/>
              </w:rPr>
              <w:t xml:space="preserve">Table 9.2.1.0-1) </w:t>
            </w:r>
            <w:r>
              <w:rPr>
                <w:bCs/>
                <w:sz w:val="20"/>
                <w:szCs w:val="20"/>
              </w:rPr>
              <w:t>for above 10 GHz (no handheld devices)</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 xml:space="preserve">FDD Mode </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 xml:space="preserve">GNSS Receiver capability </w:t>
            </w:r>
          </w:p>
          <w:p>
            <w:pPr>
              <w:overflowPunct w:val="0"/>
              <w:autoSpaceDE w:val="0"/>
              <w:autoSpaceDN w:val="0"/>
              <w:adjustRightInd w:val="0"/>
              <w:spacing w:after="0"/>
              <w:ind w:left="720"/>
              <w:textAlignment w:val="baseline"/>
              <w:rPr>
                <w:bCs/>
                <w:color w:val="FF0000"/>
                <w:sz w:val="20"/>
                <w:szCs w:val="20"/>
              </w:rPr>
            </w:pPr>
          </w:p>
          <w:p>
            <w:pPr>
              <w:overflowPunct w:val="0"/>
              <w:autoSpaceDE w:val="0"/>
              <w:autoSpaceDN w:val="0"/>
              <w:adjustRightInd w:val="0"/>
              <w:spacing w:after="180"/>
              <w:textAlignment w:val="baseline"/>
              <w:rPr>
                <w:bCs/>
                <w:sz w:val="20"/>
                <w:szCs w:val="20"/>
              </w:rPr>
            </w:pPr>
            <w:r>
              <w:rPr>
                <w:iCs/>
                <w:sz w:val="20"/>
                <w:szCs w:val="20"/>
              </w:rPr>
              <w:t>The objectives are:</w:t>
            </w:r>
          </w:p>
          <w:p>
            <w:pPr>
              <w:numPr>
                <w:ilvl w:val="0"/>
                <w:numId w:val="9"/>
              </w:numPr>
              <w:overflowPunct w:val="0"/>
              <w:autoSpaceDE w:val="0"/>
              <w:autoSpaceDN w:val="0"/>
              <w:adjustRightInd w:val="0"/>
              <w:spacing w:after="0"/>
              <w:jc w:val="both"/>
              <w:textAlignment w:val="baseline"/>
              <w:rPr>
                <w:bCs/>
                <w:sz w:val="20"/>
                <w:szCs w:val="20"/>
              </w:rPr>
            </w:pPr>
            <w:r>
              <w:rPr>
                <w:bCs/>
                <w:sz w:val="20"/>
                <w:szCs w:val="20"/>
              </w:rPr>
              <w:t>Use the regulation requirements in ITU Regions 1, 2 and 3 to identify relevant adjacent band co-existence scenarios for NTN Ku Band covering the following frequency ranges, considering targeted deployment scenarios:</w:t>
            </w:r>
          </w:p>
          <w:p>
            <w:pPr>
              <w:numPr>
                <w:ilvl w:val="1"/>
                <w:numId w:val="9"/>
              </w:numPr>
              <w:overflowPunct w:val="0"/>
              <w:autoSpaceDE w:val="0"/>
              <w:autoSpaceDN w:val="0"/>
              <w:adjustRightInd w:val="0"/>
              <w:spacing w:after="0"/>
              <w:jc w:val="both"/>
              <w:textAlignment w:val="baseline"/>
              <w:rPr>
                <w:bCs/>
                <w:sz w:val="20"/>
                <w:szCs w:val="20"/>
              </w:rPr>
            </w:pPr>
            <w:r>
              <w:rPr>
                <w:bCs/>
                <w:sz w:val="20"/>
                <w:szCs w:val="20"/>
              </w:rPr>
              <w:t>For ITU regions 1 and 3:</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Downlink 10.70 – 12.75 GHz</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Uplink 13.75-14.5 GHz</w:t>
            </w:r>
          </w:p>
          <w:p>
            <w:pPr>
              <w:numPr>
                <w:ilvl w:val="1"/>
                <w:numId w:val="9"/>
              </w:numPr>
              <w:overflowPunct w:val="0"/>
              <w:autoSpaceDE w:val="0"/>
              <w:autoSpaceDN w:val="0"/>
              <w:adjustRightInd w:val="0"/>
              <w:spacing w:after="0"/>
              <w:jc w:val="both"/>
              <w:textAlignment w:val="baseline"/>
              <w:rPr>
                <w:bCs/>
                <w:sz w:val="20"/>
                <w:szCs w:val="20"/>
              </w:rPr>
            </w:pPr>
            <w:r>
              <w:rPr>
                <w:bCs/>
                <w:sz w:val="20"/>
                <w:szCs w:val="20"/>
              </w:rPr>
              <w:t>For ITU regions 2 excluding US:</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Downlink 10.70 – 12.70 GHz</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Uplink 13.75-14.5 GHz</w:t>
            </w:r>
          </w:p>
          <w:p>
            <w:pPr>
              <w:numPr>
                <w:ilvl w:val="1"/>
                <w:numId w:val="9"/>
              </w:numPr>
              <w:overflowPunct w:val="0"/>
              <w:autoSpaceDE w:val="0"/>
              <w:autoSpaceDN w:val="0"/>
              <w:adjustRightInd w:val="0"/>
              <w:spacing w:after="0"/>
              <w:jc w:val="both"/>
              <w:textAlignment w:val="baseline"/>
              <w:rPr>
                <w:bCs/>
                <w:sz w:val="20"/>
                <w:szCs w:val="20"/>
              </w:rPr>
            </w:pPr>
            <w:r>
              <w:rPr>
                <w:bCs/>
                <w:sz w:val="20"/>
                <w:szCs w:val="20"/>
              </w:rPr>
              <w:t>For ITU regions 1 and 3</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Downlink 10.70 – 12.75 GHz</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Uplink 12.75 - 13.25 GHz</w:t>
            </w:r>
          </w:p>
          <w:p>
            <w:pPr>
              <w:numPr>
                <w:ilvl w:val="1"/>
                <w:numId w:val="9"/>
              </w:numPr>
              <w:overflowPunct w:val="0"/>
              <w:autoSpaceDE w:val="0"/>
              <w:autoSpaceDN w:val="0"/>
              <w:adjustRightInd w:val="0"/>
              <w:spacing w:after="0"/>
              <w:jc w:val="both"/>
              <w:textAlignment w:val="baseline"/>
              <w:rPr>
                <w:bCs/>
                <w:sz w:val="20"/>
                <w:szCs w:val="20"/>
              </w:rPr>
            </w:pPr>
            <w:r>
              <w:rPr>
                <w:bCs/>
                <w:sz w:val="20"/>
                <w:szCs w:val="20"/>
              </w:rPr>
              <w:t>For ITU regions 2 excluding US</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Downlink 10.70 – 12.70 GHz</w:t>
            </w:r>
          </w:p>
          <w:p>
            <w:pPr>
              <w:numPr>
                <w:ilvl w:val="2"/>
                <w:numId w:val="9"/>
              </w:numPr>
              <w:overflowPunct w:val="0"/>
              <w:autoSpaceDE w:val="0"/>
              <w:autoSpaceDN w:val="0"/>
              <w:adjustRightInd w:val="0"/>
              <w:spacing w:after="0"/>
              <w:jc w:val="both"/>
              <w:textAlignment w:val="baseline"/>
              <w:rPr>
                <w:bCs/>
                <w:sz w:val="20"/>
                <w:szCs w:val="20"/>
              </w:rPr>
            </w:pPr>
            <w:r>
              <w:rPr>
                <w:bCs/>
                <w:sz w:val="20"/>
                <w:szCs w:val="20"/>
              </w:rPr>
              <w:t>Uplink 12.70 - 13.25 GHz</w:t>
            </w:r>
          </w:p>
          <w:p>
            <w:pPr>
              <w:numPr>
                <w:ilvl w:val="1"/>
                <w:numId w:val="9"/>
              </w:numPr>
              <w:overflowPunct w:val="0"/>
              <w:autoSpaceDE w:val="0"/>
              <w:autoSpaceDN w:val="0"/>
              <w:adjustRightInd w:val="0"/>
              <w:spacing w:after="0"/>
              <w:jc w:val="both"/>
              <w:textAlignment w:val="baseline"/>
              <w:rPr>
                <w:bCs/>
                <w:sz w:val="20"/>
                <w:szCs w:val="20"/>
              </w:rPr>
            </w:pPr>
            <w:r>
              <w:rPr>
                <w:bCs/>
                <w:sz w:val="20"/>
                <w:szCs w:val="20"/>
              </w:rPr>
              <w:t>Note: Appropriate TX/Rx separation for uplink downlink pairing will be required.</w:t>
            </w:r>
          </w:p>
          <w:p>
            <w:pPr>
              <w:numPr>
                <w:ilvl w:val="0"/>
                <w:numId w:val="9"/>
              </w:numPr>
              <w:overflowPunct w:val="0"/>
              <w:autoSpaceDE w:val="0"/>
              <w:autoSpaceDN w:val="0"/>
              <w:adjustRightInd w:val="0"/>
              <w:spacing w:after="0"/>
              <w:jc w:val="both"/>
              <w:textAlignment w:val="baseline"/>
              <w:rPr>
                <w:bCs/>
                <w:sz w:val="20"/>
                <w:szCs w:val="20"/>
              </w:rPr>
            </w:pPr>
            <w:r>
              <w:rPr>
                <w:bCs/>
                <w:sz w:val="20"/>
                <w:szCs w:val="20"/>
              </w:rPr>
              <w:t>Conduct coexistence study. Reuse Ka band coexistence study assumptions as much as possible, with modifications where necessary, e.g. for frequency range and subcarrier spacing. Conduct new co-existence studies based on adjacent services .</w:t>
            </w:r>
          </w:p>
          <w:p>
            <w:pPr>
              <w:numPr>
                <w:ilvl w:val="0"/>
                <w:numId w:val="9"/>
              </w:numPr>
              <w:overflowPunct w:val="0"/>
              <w:autoSpaceDE w:val="0"/>
              <w:autoSpaceDN w:val="0"/>
              <w:adjustRightInd w:val="0"/>
              <w:spacing w:after="0"/>
              <w:jc w:val="both"/>
              <w:textAlignment w:val="baseline"/>
              <w:rPr>
                <w:bCs/>
                <w:sz w:val="20"/>
                <w:szCs w:val="20"/>
              </w:rPr>
            </w:pPr>
            <w:r>
              <w:rPr>
                <w:sz w:val="20"/>
                <w:szCs w:val="20"/>
              </w:rPr>
              <w:t>Specify RF requirements for satellite access node and NTN VSAT types in 38.101-5 also considering existing regulations on antenna sizes for certain parts of the Ku band.</w:t>
            </w:r>
          </w:p>
          <w:p>
            <w:pPr>
              <w:pStyle w:val="34"/>
              <w:numPr>
                <w:ilvl w:val="0"/>
                <w:numId w:val="10"/>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Priority 1: for all ITU regions, define Ku band #1a and #1b for the downlink block and uplink block B to enable the future possibility of supporting satellite services in 125 MHz (UL) and 250 MHz (DL) aggregated bandwidths based on existing channel bandwidths. Potential approaches for achieving this shall be studied, from which one shall be selected including but not limited to:</w:t>
            </w:r>
          </w:p>
          <w:p>
            <w:pPr>
              <w:pStyle w:val="34"/>
              <w:numPr>
                <w:ilvl w:val="1"/>
                <w:numId w:val="10"/>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Ku band #1a and #1b as FR1-NTN supporting 20 MHz, 35 MHz, 50 MHz, 70 MHz and 100 MHz channel bandwidths with 30 kHz subcarrier spacing</w:t>
            </w:r>
          </w:p>
          <w:p>
            <w:pPr>
              <w:pStyle w:val="34"/>
              <w:numPr>
                <w:ilvl w:val="1"/>
                <w:numId w:val="10"/>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Ku band #1a and #1b as FR2-NTN supporting 50 MHz, 100 MHz, 200 MHz, 400 MHz (120kHz SCS only) channel bandwidths with 120 kHz subcarrier spacing</w:t>
            </w:r>
          </w:p>
          <w:p>
            <w:pPr>
              <w:pStyle w:val="34"/>
              <w:numPr>
                <w:ilvl w:val="0"/>
                <w:numId w:val="10"/>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RAN4 will select which one of the above approaches for DL and UL will be pursued by RAN #106.</w:t>
            </w:r>
          </w:p>
          <w:p>
            <w:pPr>
              <w:pStyle w:val="34"/>
              <w:numPr>
                <w:ilvl w:val="0"/>
                <w:numId w:val="10"/>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Priority 2: for all ITU regions excluding the US in region 2, using the approach in Priority 1, define Ku band #2a and #2b as appropriate for the downlink block and uplink block A to support satellite services in 125 MHz (UL) and 250 MHz (DL) aggregated bandwidths.</w:t>
            </w:r>
          </w:p>
          <w:p>
            <w:pPr>
              <w:pStyle w:val="34"/>
              <w:numPr>
                <w:ilvl w:val="0"/>
                <w:numId w:val="10"/>
              </w:numPr>
              <w:overflowPunct/>
              <w:autoSpaceDE/>
              <w:autoSpaceDN/>
              <w:adjustRightInd/>
              <w:spacing w:before="0" w:beforeAutospacing="0" w:after="0" w:afterAutospacing="0" w:line="259" w:lineRule="auto"/>
              <w:contextualSpacing/>
              <w:jc w:val="both"/>
              <w:textAlignment w:val="auto"/>
              <w:rPr>
                <w:sz w:val="20"/>
                <w:szCs w:val="20"/>
              </w:rPr>
            </w:pPr>
            <w:r>
              <w:rPr>
                <w:sz w:val="20"/>
                <w:szCs w:val="20"/>
              </w:rPr>
              <w:t xml:space="preserve">Specify RRM requirements </w:t>
            </w:r>
          </w:p>
          <w:p>
            <w:pPr>
              <w:pStyle w:val="34"/>
              <w:overflowPunct/>
              <w:autoSpaceDE/>
              <w:autoSpaceDN/>
              <w:adjustRightInd/>
              <w:spacing w:before="0" w:beforeAutospacing="0" w:after="160" w:afterAutospacing="0" w:line="259" w:lineRule="auto"/>
              <w:ind w:left="360"/>
              <w:contextualSpacing/>
              <w:jc w:val="both"/>
              <w:textAlignment w:val="auto"/>
              <w:rPr>
                <w:sz w:val="20"/>
                <w:szCs w:val="20"/>
              </w:rPr>
            </w:pPr>
          </w:p>
          <w:p>
            <w:pPr>
              <w:pStyle w:val="34"/>
              <w:overflowPunct/>
              <w:autoSpaceDE/>
              <w:autoSpaceDN/>
              <w:adjustRightInd/>
              <w:spacing w:before="0" w:beforeAutospacing="0" w:after="160" w:afterAutospacing="0" w:line="259" w:lineRule="auto"/>
              <w:ind w:left="360"/>
              <w:contextualSpacing/>
              <w:jc w:val="both"/>
              <w:textAlignment w:val="auto"/>
              <w:rPr>
                <w:rFonts w:hint="default" w:eastAsia="宋体"/>
                <w:i w:val="0"/>
                <w:iCs w:val="0"/>
                <w:sz w:val="20"/>
                <w:szCs w:val="20"/>
                <w:vertAlign w:val="baseline"/>
                <w:lang w:val="en-US" w:eastAsia="zh-CN"/>
              </w:rPr>
            </w:pPr>
            <w:r>
              <w:rPr>
                <w:sz w:val="20"/>
                <w:szCs w:val="20"/>
              </w:rPr>
              <w:t>Note: Support for NTN CA is not in the scope of this WID</w:t>
            </w: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
              <w:numPr>
                <w:ilvl w:val="0"/>
                <w:numId w:val="0"/>
              </w:numPr>
              <w:overflowPunct w:val="0"/>
              <w:autoSpaceDE w:val="0"/>
              <w:autoSpaceDN w:val="0"/>
              <w:adjustRightInd w:val="0"/>
              <w:textAlignment w:val="baseline"/>
              <w:rPr>
                <w:rFonts w:eastAsia="PMingLiU"/>
                <w:sz w:val="20"/>
                <w:szCs w:val="20"/>
                <w:lang w:val="en-US" w:eastAsia="zh-TW"/>
              </w:rPr>
            </w:pPr>
            <w:r>
              <w:rPr>
                <w:sz w:val="20"/>
                <w:szCs w:val="20"/>
                <w:lang w:val="en-US"/>
              </w:rPr>
              <w:t xml:space="preserve">Issue 2-1-1: </w:t>
            </w:r>
            <w:r>
              <w:rPr>
                <w:rFonts w:hint="eastAsia" w:eastAsia="PMingLiU"/>
                <w:sz w:val="20"/>
                <w:szCs w:val="20"/>
                <w:lang w:val="en-US" w:eastAsia="zh-TW"/>
              </w:rPr>
              <w:t>Supported SAN type for NR NTN Ku band</w:t>
            </w:r>
          </w:p>
          <w:p>
            <w:pPr>
              <w:pStyle w:val="34"/>
              <w:keepNext/>
              <w:numPr>
                <w:ilvl w:val="0"/>
                <w:numId w:val="11"/>
              </w:numPr>
              <w:overflowPunct/>
              <w:autoSpaceDE/>
              <w:autoSpaceDN/>
              <w:adjustRightInd/>
              <w:spacing w:after="120" w:line="259" w:lineRule="auto"/>
              <w:ind w:left="720" w:firstLineChars="0"/>
              <w:textAlignment w:val="auto"/>
              <w:rPr>
                <w:sz w:val="20"/>
                <w:szCs w:val="20"/>
                <w:vertAlign w:val="baseline"/>
              </w:rPr>
            </w:pPr>
            <w:r>
              <w:rPr>
                <w:rFonts w:hint="eastAsia" w:eastAsia="PMingLiU"/>
                <w:sz w:val="20"/>
                <w:szCs w:val="20"/>
                <w:lang w:val="en-US" w:eastAsia="zh-TW"/>
              </w:rPr>
              <w:t xml:space="preserve">At least the OTA type of requirements will be specified, FFS on whether conducted type of requirements is </w:t>
            </w:r>
            <w:r>
              <w:rPr>
                <w:rFonts w:eastAsia="PMingLiU"/>
                <w:sz w:val="20"/>
                <w:szCs w:val="20"/>
                <w:lang w:val="en-US" w:eastAsia="zh-TW"/>
              </w:rPr>
              <w:t>considered</w:t>
            </w:r>
            <w:r>
              <w:rPr>
                <w:rFonts w:hint="eastAsia" w:eastAsia="PMingLiU"/>
                <w:sz w:val="20"/>
                <w:szCs w:val="20"/>
                <w:lang w:val="en-US" w:eastAsia="zh-TW"/>
              </w:rPr>
              <w:t xml:space="preserve"> </w:t>
            </w:r>
          </w:p>
        </w:tc>
      </w:tr>
    </w:tbl>
    <w:p>
      <w:pPr>
        <w:pStyle w:val="3"/>
        <w:keepNext/>
        <w:keepLines/>
        <w:pageBreakBefore w:val="0"/>
        <w:widowControl/>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default"/>
          <w:lang w:val="en-US" w:eastAsia="zh-CN"/>
        </w:rPr>
      </w:pPr>
      <w:r>
        <w:rPr>
          <w:rFonts w:hint="eastAsia"/>
          <w:lang w:val="en-US" w:eastAsia="zh-CN"/>
        </w:rPr>
        <w:t>2.1 SAN types</w:t>
      </w:r>
    </w:p>
    <w:p>
      <w:pPr>
        <w:bidi w:val="0"/>
        <w:rPr>
          <w:rFonts w:hint="default"/>
          <w:lang w:val="en-US"/>
        </w:rPr>
      </w:pPr>
      <w:r>
        <w:rPr>
          <w:rFonts w:hint="eastAsia"/>
          <w:i w:val="0"/>
          <w:iCs w:val="0"/>
          <w:sz w:val="20"/>
          <w:szCs w:val="18"/>
          <w:lang w:val="en-US" w:eastAsia="zh-CN"/>
        </w:rPr>
        <w:t xml:space="preserve">There are three SAN types defined in TS 38.108: </w:t>
      </w:r>
      <w:r>
        <w:rPr>
          <w:i w:val="0"/>
          <w:iCs w:val="0"/>
          <w:sz w:val="20"/>
          <w:szCs w:val="18"/>
        </w:rPr>
        <w:t>SAN type 1-H</w:t>
      </w:r>
      <w:r>
        <w:rPr>
          <w:rFonts w:hint="eastAsia"/>
          <w:i w:val="0"/>
          <w:iCs w:val="0"/>
          <w:sz w:val="20"/>
          <w:szCs w:val="18"/>
          <w:lang w:val="en-US" w:eastAsia="zh-CN"/>
        </w:rPr>
        <w:t xml:space="preserve">, </w:t>
      </w:r>
      <w:r>
        <w:rPr>
          <w:i w:val="0"/>
          <w:iCs w:val="0"/>
          <w:sz w:val="20"/>
          <w:szCs w:val="18"/>
        </w:rPr>
        <w:t>SAN type 1-O and SAN type 2-O</w:t>
      </w:r>
      <w:r>
        <w:rPr>
          <w:rFonts w:hint="eastAsia"/>
          <w:i w:val="0"/>
          <w:iCs w:val="0"/>
          <w:sz w:val="20"/>
          <w:szCs w:val="18"/>
          <w:lang w:val="en-US" w:eastAsia="zh-CN"/>
        </w:rPr>
        <w:t xml:space="preserve">, and only SAN type 2-O is specified for FR2-NTN. </w:t>
      </w:r>
      <w:r>
        <w:rPr>
          <w:rFonts w:hint="eastAsia"/>
          <w:sz w:val="20"/>
          <w:szCs w:val="18"/>
          <w:lang w:val="en-US" w:eastAsia="zh-CN"/>
        </w:rPr>
        <w:t>The above is way forward in last meeting, we reached an agreement that at least OTA type will be supported. Based on our analysis, FR1</w:t>
      </w:r>
      <w:r>
        <w:rPr>
          <w:rFonts w:hint="eastAsia"/>
          <w:i w:val="0"/>
          <w:iCs w:val="0"/>
          <w:sz w:val="20"/>
          <w:szCs w:val="18"/>
          <w:lang w:val="en-US" w:eastAsia="zh-CN"/>
        </w:rPr>
        <w:t xml:space="preserve"> numerology should be selected for Ku band. Hence, at least SAN type 1-O should be supported for Ku band.</w:t>
      </w:r>
    </w:p>
    <w:p>
      <w:pPr>
        <w:rPr>
          <w:rFonts w:hint="eastAsia"/>
          <w:b/>
          <w:bCs/>
          <w:i w:val="0"/>
          <w:iCs w:val="0"/>
          <w:sz w:val="20"/>
          <w:szCs w:val="20"/>
          <w:lang w:val="en-US" w:eastAsia="zh-CN"/>
        </w:rPr>
      </w:pPr>
      <w:r>
        <w:rPr>
          <w:rFonts w:hint="eastAsia"/>
          <w:b/>
          <w:bCs/>
          <w:i w:val="0"/>
          <w:iCs w:val="0"/>
          <w:sz w:val="20"/>
          <w:szCs w:val="20"/>
          <w:lang w:val="en-US" w:eastAsia="zh-CN"/>
        </w:rPr>
        <w:t>Proposal 1: At least SAN type 1-O should be supported for Ku band.</w:t>
      </w:r>
    </w:p>
    <w:p>
      <w:pPr>
        <w:pStyle w:val="3"/>
        <w:keepNext/>
        <w:keepLines/>
        <w:pageBreakBefore w:val="0"/>
        <w:widowControl/>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default"/>
          <w:lang w:val="en-US" w:eastAsia="zh-CN"/>
        </w:rPr>
      </w:pPr>
      <w:r>
        <w:rPr>
          <w:rFonts w:hint="eastAsia"/>
          <w:lang w:val="en-US" w:eastAsia="zh-CN"/>
        </w:rPr>
        <w:t>2.2 SAN RF requirements</w:t>
      </w:r>
    </w:p>
    <w:p>
      <w:pPr>
        <w:bidi w:val="0"/>
        <w:rPr>
          <w:rFonts w:hint="eastAsia" w:cs="Times New Roman"/>
          <w:b/>
          <w:bCs/>
          <w:kern w:val="2"/>
          <w:sz w:val="20"/>
          <w:szCs w:val="20"/>
          <w:lang w:val="en-US" w:eastAsia="zh-CN" w:bidi="ar-SA"/>
        </w:rPr>
      </w:pPr>
      <w:r>
        <w:rPr>
          <w:rFonts w:hint="eastAsia"/>
          <w:sz w:val="20"/>
          <w:szCs w:val="18"/>
          <w:lang w:val="en-US" w:eastAsia="zh-CN"/>
        </w:rPr>
        <w:t>At least radiated requirements should be specified for Ku band, so we make the following proposals for SAN radiated RF requirements.</w:t>
      </w:r>
    </w:p>
    <w:p>
      <w:pPr>
        <w:jc w:val="center"/>
        <w:rPr>
          <w:rFonts w:hint="default"/>
          <w:b/>
          <w:bCs/>
          <w:lang w:val="en-US" w:eastAsia="zh-CN"/>
        </w:rPr>
      </w:pPr>
      <w:r>
        <w:rPr>
          <w:rFonts w:hint="eastAsia" w:cs="Times New Roman"/>
          <w:b/>
          <w:bCs/>
          <w:kern w:val="2"/>
          <w:sz w:val="20"/>
          <w:szCs w:val="20"/>
          <w:lang w:val="en-US" w:eastAsia="zh-CN" w:bidi="ar-SA"/>
        </w:rPr>
        <w:t>Table 2.2 SAN RF requirements for NTN Ku band</w:t>
      </w:r>
    </w:p>
    <w:tbl>
      <w:tblPr>
        <w:tblStyle w:val="23"/>
        <w:tblW w:w="0" w:type="auto"/>
        <w:tblInd w:w="0" w:type="dxa"/>
        <w:tblLayout w:type="autofit"/>
        <w:tblCellMar>
          <w:top w:w="0" w:type="dxa"/>
          <w:left w:w="70" w:type="dxa"/>
          <w:bottom w:w="0" w:type="dxa"/>
          <w:right w:w="70" w:type="dxa"/>
        </w:tblCellMar>
      </w:tblPr>
      <w:tblGrid>
        <w:gridCol w:w="3314"/>
        <w:gridCol w:w="6486"/>
      </w:tblGrid>
      <w:tr>
        <w:tblPrEx>
          <w:tblCellMar>
            <w:top w:w="0" w:type="dxa"/>
            <w:left w:w="70" w:type="dxa"/>
            <w:bottom w:w="0" w:type="dxa"/>
            <w:right w:w="70" w:type="dxa"/>
          </w:tblCellMar>
        </w:tblPrEx>
        <w:trPr>
          <w:trHeight w:val="0" w:hRule="atLeast"/>
        </w:trPr>
        <w:tc>
          <w:tcPr>
            <w:tcW w:w="0" w:type="auto"/>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val="0"/>
              <w:keepLines w:val="0"/>
              <w:pageBreakBefore w:val="0"/>
              <w:widowControl/>
              <w:kinsoku/>
              <w:wordWrap/>
              <w:overflowPunct/>
              <w:topLinePunct w:val="0"/>
              <w:autoSpaceDE/>
              <w:autoSpaceDN/>
              <w:bidi w:val="0"/>
              <w:adjustRightInd/>
              <w:snapToGrid w:val="0"/>
              <w:spacing w:before="0" w:beforeLines="50" w:after="0" w:afterLines="50" w:line="240" w:lineRule="auto"/>
              <w:textAlignment w:val="auto"/>
              <w:rPr>
                <w:rFonts w:hint="eastAsia" w:ascii="Calibri" w:hAnsi="Calibri" w:eastAsia="宋体" w:cs="Calibri"/>
                <w:b/>
                <w:bCs/>
                <w:color w:val="000000"/>
                <w:sz w:val="20"/>
                <w:szCs w:val="20"/>
                <w:lang w:val="en-US" w:eastAsia="zh-CN"/>
              </w:rPr>
            </w:pPr>
            <w:r>
              <w:rPr>
                <w:b/>
                <w:bCs/>
                <w:sz w:val="20"/>
                <w:szCs w:val="20"/>
              </w:rPr>
              <w:t>NR BS RF Tx/Rx requirement</w:t>
            </w:r>
            <w:r>
              <w:rPr>
                <w:rFonts w:hint="eastAsia"/>
                <w:b/>
                <w:bCs/>
                <w:sz w:val="20"/>
                <w:szCs w:val="20"/>
                <w:lang w:val="en-US" w:eastAsia="zh-CN"/>
              </w:rPr>
              <w:t>s</w:t>
            </w:r>
          </w:p>
        </w:tc>
        <w:tc>
          <w:tcPr>
            <w:tcW w:w="0" w:type="auto"/>
            <w:tcBorders>
              <w:top w:val="single" w:color="auto" w:sz="4" w:space="0"/>
              <w:left w:val="nil"/>
              <w:bottom w:val="single" w:color="auto" w:sz="4" w:space="0"/>
              <w:right w:val="single" w:color="auto" w:sz="4" w:space="0"/>
            </w:tcBorders>
            <w:shd w:val="clear" w:color="000000" w:fill="FFFFFF"/>
            <w:noWrap w:val="0"/>
            <w:vAlign w:val="top"/>
          </w:tcPr>
          <w:p>
            <w:pPr>
              <w:keepNext w:val="0"/>
              <w:keepLines w:val="0"/>
              <w:pageBreakBefore w:val="0"/>
              <w:widowControl/>
              <w:kinsoku/>
              <w:wordWrap/>
              <w:overflowPunct/>
              <w:topLinePunct w:val="0"/>
              <w:autoSpaceDE/>
              <w:autoSpaceDN/>
              <w:bidi w:val="0"/>
              <w:adjustRightInd/>
              <w:snapToGrid w:val="0"/>
              <w:spacing w:before="0" w:beforeLines="50" w:after="0" w:afterLines="50" w:line="240" w:lineRule="auto"/>
              <w:textAlignment w:val="auto"/>
              <w:rPr>
                <w:rFonts w:ascii="Calibri" w:hAnsi="Calibri" w:eastAsia="Times New Roman" w:cs="Calibri"/>
                <w:b/>
                <w:bCs/>
                <w:color w:val="000000"/>
                <w:sz w:val="20"/>
                <w:szCs w:val="20"/>
                <w:lang w:val="fi-FI" w:eastAsia="fi-FI"/>
              </w:rPr>
            </w:pPr>
            <w:r>
              <w:rPr>
                <w:b/>
                <w:bCs/>
                <w:sz w:val="20"/>
                <w:szCs w:val="20"/>
              </w:rPr>
              <w:t xml:space="preserve">Proposal for </w:t>
            </w:r>
            <w:r>
              <w:rPr>
                <w:rFonts w:hint="eastAsia"/>
                <w:b/>
                <w:bCs/>
                <w:sz w:val="20"/>
                <w:szCs w:val="20"/>
              </w:rPr>
              <w:t>NTN Ku band</w:t>
            </w:r>
          </w:p>
        </w:tc>
      </w:tr>
      <w:tr>
        <w:tblPrEx>
          <w:tblCellMar>
            <w:top w:w="0" w:type="dxa"/>
            <w:left w:w="70" w:type="dxa"/>
            <w:bottom w:w="0" w:type="dxa"/>
            <w:right w:w="70" w:type="dxa"/>
          </w:tblCellMar>
        </w:tblPrEx>
        <w:trPr>
          <w:trHeight w:val="0" w:hRule="atLeast"/>
        </w:trPr>
        <w:tc>
          <w:tcPr>
            <w:tcW w:w="9800" w:type="dxa"/>
            <w:gridSpan w:val="2"/>
            <w:tcBorders>
              <w:top w:val="single" w:color="auto" w:sz="4" w:space="0"/>
              <w:left w:val="single" w:color="auto" w:sz="4" w:space="0"/>
              <w:bottom w:val="single" w:color="auto" w:sz="4" w:space="0"/>
              <w:right w:val="single" w:color="auto" w:sz="4" w:space="0"/>
            </w:tcBorders>
            <w:shd w:val="clear" w:color="000000" w:fill="D7D7D7" w:themeFill="background1" w:themeFillShade="D8"/>
            <w:noWrap w:val="0"/>
            <w:vAlign w:val="top"/>
          </w:tcPr>
          <w:p>
            <w:pPr>
              <w:keepNext w:val="0"/>
              <w:keepLines w:val="0"/>
              <w:pageBreakBefore w:val="0"/>
              <w:widowControl/>
              <w:kinsoku/>
              <w:wordWrap/>
              <w:overflowPunct/>
              <w:topLinePunct w:val="0"/>
              <w:autoSpaceDE/>
              <w:autoSpaceDN/>
              <w:bidi w:val="0"/>
              <w:adjustRightInd/>
              <w:snapToGrid w:val="0"/>
              <w:spacing w:before="0" w:beforeLines="50" w:after="0" w:afterLines="50" w:line="240" w:lineRule="auto"/>
              <w:textAlignment w:val="auto"/>
              <w:rPr>
                <w:rFonts w:hint="eastAsia"/>
                <w:color w:val="000000"/>
                <w:sz w:val="20"/>
                <w:szCs w:val="20"/>
                <w:lang w:val="en-US" w:eastAsia="zh-CN"/>
              </w:rPr>
            </w:pPr>
            <w:r>
              <w:rPr>
                <w:rFonts w:hint="eastAsia"/>
                <w:b/>
                <w:bCs/>
                <w:sz w:val="20"/>
                <w:szCs w:val="20"/>
                <w:lang w:val="en-US" w:eastAsia="zh-CN"/>
              </w:rPr>
              <w:t>Radiated Tx Requirements</w:t>
            </w:r>
          </w:p>
        </w:tc>
      </w:tr>
      <w:tr>
        <w:tblPrEx>
          <w:tblCellMar>
            <w:top w:w="0" w:type="dxa"/>
            <w:left w:w="70" w:type="dxa"/>
            <w:bottom w:w="0" w:type="dxa"/>
            <w:right w:w="70" w:type="dxa"/>
          </w:tblCellMar>
        </w:tblPrEx>
        <w:trPr>
          <w:trHeight w:val="0" w:hRule="atLeast"/>
        </w:trPr>
        <w:tc>
          <w:tcPr>
            <w:tcW w:w="0" w:type="auto"/>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keepLines/>
              <w:widowControl w:val="0"/>
              <w:spacing w:after="0"/>
              <w:rPr>
                <w:rFonts w:hint="eastAsia" w:ascii="Times New Roman" w:hAnsi="Times New Roman" w:eastAsia="PMingLiU" w:cs="Times New Roman"/>
                <w:kern w:val="2"/>
                <w:sz w:val="20"/>
                <w:szCs w:val="20"/>
                <w:lang w:val="en-US" w:eastAsia="zh-CN" w:bidi="ar-SA"/>
              </w:rPr>
            </w:pPr>
            <w:r>
              <w:rPr>
                <w:rFonts w:eastAsia="PMingLiU"/>
                <w:kern w:val="2"/>
                <w:sz w:val="20"/>
                <w:szCs w:val="20"/>
                <w:lang w:eastAsia="zh-TW"/>
              </w:rPr>
              <w:t>9.2 Radiated transmit power</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val="0"/>
              <w:spacing w:after="0"/>
              <w:rPr>
                <w:rFonts w:hint="eastAsia" w:ascii="Times New Roman" w:hAnsi="Times New Roman" w:eastAsia="PMingLiU" w:cs="Times New Roman"/>
                <w:kern w:val="2"/>
                <w:sz w:val="20"/>
                <w:szCs w:val="20"/>
                <w:lang w:val="en-US" w:eastAsia="zh-CN" w:bidi="ar-SA"/>
              </w:rPr>
            </w:pP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0" w:hRule="atLeast"/>
        </w:trPr>
        <w:tc>
          <w:tcPr>
            <w:tcW w:w="0" w:type="auto"/>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keepLines/>
              <w:widowControl w:val="0"/>
              <w:spacing w:after="0"/>
              <w:rPr>
                <w:rFonts w:hint="eastAsia" w:ascii="Times New Roman" w:hAnsi="Times New Roman" w:eastAsia="PMingLiU" w:cs="Times New Roman"/>
                <w:kern w:val="2"/>
                <w:sz w:val="20"/>
                <w:szCs w:val="20"/>
                <w:lang w:val="en-US" w:eastAsia="zh-CN" w:bidi="ar-SA"/>
              </w:rPr>
            </w:pPr>
            <w:r>
              <w:rPr>
                <w:rFonts w:eastAsia="PMingLiU"/>
                <w:kern w:val="2"/>
                <w:sz w:val="20"/>
                <w:szCs w:val="20"/>
                <w:lang w:eastAsia="zh-TW"/>
              </w:rPr>
              <w:t xml:space="preserve">9.3 </w:t>
            </w:r>
            <w:r>
              <w:rPr>
                <w:rFonts w:eastAsia="PMingLiU"/>
                <w:kern w:val="2"/>
                <w:sz w:val="20"/>
                <w:szCs w:val="20"/>
                <w:lang w:val="en-US" w:eastAsia="zh-TW"/>
              </w:rPr>
              <w:t>OTA S</w:t>
            </w:r>
            <w:r>
              <w:rPr>
                <w:rFonts w:hint="eastAsia" w:eastAsia="宋体"/>
                <w:kern w:val="2"/>
                <w:sz w:val="20"/>
                <w:szCs w:val="20"/>
                <w:lang w:val="en-US" w:eastAsia="zh-CN"/>
              </w:rPr>
              <w:t>AN</w:t>
            </w:r>
            <w:r>
              <w:rPr>
                <w:rFonts w:eastAsia="PMingLiU"/>
                <w:kern w:val="2"/>
                <w:sz w:val="20"/>
                <w:szCs w:val="20"/>
                <w:lang w:val="en-US" w:eastAsia="zh-TW"/>
              </w:rPr>
              <w:t xml:space="preserve"> output power</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val="0"/>
              <w:spacing w:after="0"/>
              <w:rPr>
                <w:rFonts w:hint="eastAsia" w:ascii="Times New Roman" w:hAnsi="Times New Roman" w:eastAsia="PMingLiU" w:cs="Times New Roman"/>
                <w:kern w:val="2"/>
                <w:sz w:val="20"/>
                <w:szCs w:val="20"/>
                <w:lang w:val="en-US" w:eastAsia="zh-CN" w:bidi="ar-SA"/>
              </w:rPr>
            </w:pP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0" w:hRule="atLeast"/>
        </w:trPr>
        <w:tc>
          <w:tcPr>
            <w:tcW w:w="0" w:type="auto"/>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keepLines/>
              <w:widowControl w:val="0"/>
              <w:spacing w:after="0"/>
              <w:rPr>
                <w:rFonts w:hint="eastAsia" w:ascii="Times New Roman" w:hAnsi="Times New Roman" w:eastAsia="PMingLiU" w:cs="Times New Roman"/>
                <w:kern w:val="2"/>
                <w:sz w:val="20"/>
                <w:szCs w:val="20"/>
                <w:lang w:val="en-US" w:eastAsia="zh-CN" w:bidi="ar-SA"/>
              </w:rPr>
            </w:pPr>
            <w:r>
              <w:rPr>
                <w:rFonts w:eastAsia="PMingLiU"/>
                <w:kern w:val="2"/>
                <w:sz w:val="20"/>
                <w:szCs w:val="20"/>
                <w:lang w:eastAsia="zh-TW"/>
              </w:rPr>
              <w:t>9.4 OTA out</w:t>
            </w:r>
            <w:r>
              <w:rPr>
                <w:rFonts w:eastAsia="PMingLiU"/>
                <w:kern w:val="2"/>
                <w:sz w:val="20"/>
                <w:szCs w:val="20"/>
                <w:lang w:val="en-US" w:eastAsia="zh-CN"/>
              </w:rPr>
              <w:t>put power dynamics</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val="0"/>
              <w:spacing w:after="0"/>
              <w:rPr>
                <w:rFonts w:hint="eastAsia" w:ascii="Times New Roman" w:hAnsi="Times New Roman" w:eastAsia="PMingLiU" w:cs="Times New Roman"/>
                <w:kern w:val="2"/>
                <w:sz w:val="20"/>
                <w:szCs w:val="20"/>
                <w:lang w:val="en-US" w:eastAsia="zh-CN" w:bidi="ar-SA"/>
              </w:rPr>
            </w:pPr>
            <w:r>
              <w:rPr>
                <w:rFonts w:hint="eastAsia" w:eastAsia="宋体"/>
                <w:kern w:val="2"/>
                <w:sz w:val="20"/>
                <w:szCs w:val="20"/>
                <w:lang w:val="en-US" w:eastAsia="zh-CN"/>
              </w:rPr>
              <w:t>Use SAN type 1-H requirements.</w:t>
            </w:r>
            <w:r>
              <w:rPr>
                <w:rFonts w:eastAsia="Times New Roman"/>
                <w:color w:val="000000"/>
                <w:sz w:val="20"/>
                <w:szCs w:val="20"/>
                <w:lang w:eastAsia="fi-FI"/>
              </w:rPr>
              <w:t xml:space="preserve"> --&gt; </w:t>
            </w: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0" w:hRule="atLeast"/>
        </w:trPr>
        <w:tc>
          <w:tcPr>
            <w:tcW w:w="0" w:type="auto"/>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keepLines/>
              <w:widowControl w:val="0"/>
              <w:spacing w:after="0"/>
              <w:rPr>
                <w:rFonts w:hint="eastAsia" w:ascii="Times New Roman" w:hAnsi="Times New Roman" w:eastAsia="PMingLiU" w:cs="Times New Roman"/>
                <w:kern w:val="2"/>
                <w:sz w:val="20"/>
                <w:szCs w:val="20"/>
                <w:lang w:val="en-US" w:eastAsia="zh-CN" w:bidi="ar-SA"/>
              </w:rPr>
            </w:pPr>
            <w:r>
              <w:rPr>
                <w:rFonts w:eastAsia="PMingLiU"/>
                <w:kern w:val="2"/>
                <w:sz w:val="20"/>
                <w:szCs w:val="20"/>
                <w:lang w:eastAsia="zh-TW"/>
              </w:rPr>
              <w:t>9.5 OTA t</w:t>
            </w:r>
            <w:r>
              <w:rPr>
                <w:rFonts w:eastAsia="PMingLiU"/>
                <w:kern w:val="2"/>
                <w:sz w:val="20"/>
                <w:szCs w:val="20"/>
                <w:lang w:val="en-US" w:eastAsia="zh-CN"/>
              </w:rPr>
              <w:t>ransmit ON/OFF power</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val="0"/>
              <w:spacing w:after="0"/>
              <w:rPr>
                <w:rFonts w:hint="eastAsia" w:ascii="Times New Roman" w:hAnsi="Times New Roman" w:eastAsia="PMingLiU" w:cs="Times New Roman"/>
                <w:kern w:val="2"/>
                <w:sz w:val="20"/>
                <w:szCs w:val="20"/>
                <w:lang w:val="en-US" w:eastAsia="zh-CN" w:bidi="ar-SA"/>
              </w:rPr>
            </w:pPr>
            <w:r>
              <w:rPr>
                <w:rFonts w:hint="eastAsia" w:eastAsia="宋体"/>
                <w:color w:val="000000"/>
                <w:sz w:val="20"/>
                <w:szCs w:val="20"/>
                <w:lang w:val="en-US" w:eastAsia="zh-CN"/>
              </w:rPr>
              <w:t>Not applicable</w:t>
            </w:r>
            <w:r>
              <w:rPr>
                <w:rFonts w:hint="eastAsia"/>
                <w:color w:val="000000"/>
                <w:sz w:val="20"/>
                <w:szCs w:val="20"/>
                <w:lang w:val="en-US" w:eastAsia="zh-CN"/>
              </w:rPr>
              <w:t>.</w:t>
            </w:r>
          </w:p>
        </w:tc>
      </w:tr>
      <w:tr>
        <w:tblPrEx>
          <w:tblCellMar>
            <w:top w:w="0" w:type="dxa"/>
            <w:left w:w="70" w:type="dxa"/>
            <w:bottom w:w="0" w:type="dxa"/>
            <w:right w:w="70" w:type="dxa"/>
          </w:tblCellMar>
        </w:tblPrEx>
        <w:trPr>
          <w:trHeight w:val="0" w:hRule="atLeast"/>
        </w:trPr>
        <w:tc>
          <w:tcPr>
            <w:tcW w:w="0" w:type="auto"/>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keepLines/>
              <w:widowControl w:val="0"/>
              <w:spacing w:after="0"/>
              <w:rPr>
                <w:rFonts w:hint="eastAsia" w:ascii="Times New Roman" w:hAnsi="Times New Roman" w:eastAsia="PMingLiU" w:cs="Times New Roman"/>
                <w:kern w:val="2"/>
                <w:sz w:val="20"/>
                <w:szCs w:val="20"/>
                <w:lang w:val="en-US" w:eastAsia="zh-CN" w:bidi="ar-SA"/>
              </w:rPr>
            </w:pPr>
            <w:r>
              <w:rPr>
                <w:rFonts w:eastAsia="PMingLiU"/>
                <w:kern w:val="2"/>
                <w:sz w:val="20"/>
                <w:szCs w:val="20"/>
                <w:lang w:eastAsia="zh-TW"/>
              </w:rPr>
              <w:t>9.6 OTA t</w:t>
            </w:r>
            <w:r>
              <w:rPr>
                <w:rFonts w:eastAsia="PMingLiU"/>
                <w:kern w:val="2"/>
                <w:sz w:val="20"/>
                <w:szCs w:val="20"/>
                <w:lang w:val="en-US" w:eastAsia="zh-CN"/>
              </w:rPr>
              <w:t>ransmitted signal quality</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val="0"/>
              <w:spacing w:after="0"/>
              <w:rPr>
                <w:rFonts w:hint="eastAsia" w:ascii="Times New Roman" w:hAnsi="Times New Roman" w:eastAsia="PMingLiU" w:cs="Times New Roman"/>
                <w:kern w:val="2"/>
                <w:sz w:val="20"/>
                <w:szCs w:val="20"/>
                <w:lang w:val="en-US" w:eastAsia="zh-CN" w:bidi="ar-SA"/>
              </w:rPr>
            </w:pP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0" w:hRule="atLeast"/>
        </w:trPr>
        <w:tc>
          <w:tcPr>
            <w:tcW w:w="0" w:type="auto"/>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keepLines/>
              <w:widowControl w:val="0"/>
              <w:spacing w:after="0"/>
              <w:rPr>
                <w:rFonts w:hint="eastAsia" w:ascii="Times New Roman" w:hAnsi="Times New Roman" w:eastAsia="PMingLiU" w:cs="Times New Roman"/>
                <w:kern w:val="2"/>
                <w:sz w:val="20"/>
                <w:szCs w:val="20"/>
                <w:lang w:val="en-US" w:eastAsia="zh-CN" w:bidi="ar-SA"/>
              </w:rPr>
            </w:pPr>
            <w:r>
              <w:rPr>
                <w:rFonts w:eastAsia="PMingLiU"/>
                <w:kern w:val="2"/>
                <w:sz w:val="20"/>
                <w:szCs w:val="20"/>
                <w:lang w:eastAsia="zh-TW"/>
              </w:rPr>
              <w:t>9.7.2 OTA o</w:t>
            </w:r>
            <w:r>
              <w:rPr>
                <w:rFonts w:eastAsia="PMingLiU"/>
                <w:kern w:val="2"/>
                <w:sz w:val="20"/>
                <w:szCs w:val="20"/>
                <w:lang w:val="en-US" w:eastAsia="zh-CN"/>
              </w:rPr>
              <w:t>ccupied bandwidth</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val="0"/>
              <w:spacing w:after="0"/>
              <w:rPr>
                <w:rFonts w:hint="eastAsia" w:ascii="Times New Roman" w:hAnsi="Times New Roman" w:eastAsia="PMingLiU" w:cs="Times New Roman"/>
                <w:kern w:val="2"/>
                <w:sz w:val="20"/>
                <w:szCs w:val="20"/>
                <w:lang w:val="en-US" w:eastAsia="zh-CN" w:bidi="ar-SA"/>
              </w:rPr>
            </w:pP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0" w:hRule="atLeast"/>
        </w:trPr>
        <w:tc>
          <w:tcPr>
            <w:tcW w:w="0" w:type="auto"/>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keepLines/>
              <w:widowControl w:val="0"/>
              <w:spacing w:after="0"/>
              <w:rPr>
                <w:rFonts w:hint="eastAsia" w:ascii="Times New Roman" w:hAnsi="Times New Roman" w:eastAsia="PMingLiU" w:cs="Times New Roman"/>
                <w:kern w:val="2"/>
                <w:sz w:val="20"/>
                <w:szCs w:val="20"/>
                <w:lang w:val="en-US" w:eastAsia="zh-CN" w:bidi="ar-SA"/>
              </w:rPr>
            </w:pPr>
            <w:r>
              <w:rPr>
                <w:rFonts w:eastAsia="PMingLiU"/>
                <w:kern w:val="2"/>
                <w:sz w:val="20"/>
                <w:szCs w:val="20"/>
                <w:lang w:eastAsia="zh-TW"/>
              </w:rPr>
              <w:t xml:space="preserve">9.7.3 OTA </w:t>
            </w:r>
            <w:r>
              <w:rPr>
                <w:rFonts w:eastAsia="PMingLiU"/>
                <w:kern w:val="2"/>
                <w:sz w:val="20"/>
                <w:szCs w:val="20"/>
                <w:lang w:val="en-US" w:eastAsia="zh-CN"/>
              </w:rPr>
              <w:t>Adjacent Channel Leakage Power Ratio</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val="0"/>
              <w:spacing w:after="0"/>
              <w:rPr>
                <w:rFonts w:hint="eastAsia" w:ascii="Times New Roman" w:hAnsi="Times New Roman" w:eastAsia="PMingLiU" w:cs="Times New Roman"/>
                <w:kern w:val="2"/>
                <w:sz w:val="20"/>
                <w:szCs w:val="20"/>
                <w:lang w:val="en-US" w:eastAsia="zh-CN" w:bidi="ar-SA"/>
              </w:rPr>
            </w:pPr>
            <w:r>
              <w:rPr>
                <w:rFonts w:hint="eastAsia" w:eastAsia="宋体"/>
                <w:kern w:val="2"/>
                <w:sz w:val="20"/>
                <w:szCs w:val="20"/>
                <w:lang w:val="en-US" w:eastAsia="zh-CN"/>
              </w:rPr>
              <w:t xml:space="preserve">Use </w:t>
            </w:r>
            <w:r>
              <w:rPr>
                <w:rFonts w:hint="eastAsia"/>
                <w:kern w:val="2"/>
                <w:sz w:val="20"/>
                <w:szCs w:val="20"/>
                <w:lang w:val="en-US" w:eastAsia="zh-CN"/>
              </w:rPr>
              <w:t>ACLR</w:t>
            </w:r>
            <w:r>
              <w:rPr>
                <w:rFonts w:hint="eastAsia" w:eastAsia="宋体"/>
                <w:kern w:val="2"/>
                <w:sz w:val="20"/>
                <w:szCs w:val="20"/>
                <w:lang w:val="en-US" w:eastAsia="zh-CN"/>
              </w:rPr>
              <w:t xml:space="preserve"> requirements</w:t>
            </w:r>
            <w:r>
              <w:rPr>
                <w:rFonts w:hint="eastAsia"/>
                <w:kern w:val="2"/>
                <w:sz w:val="20"/>
                <w:szCs w:val="20"/>
                <w:lang w:val="en-US" w:eastAsia="zh-CN"/>
              </w:rPr>
              <w:t xml:space="preserve"> in tables 6.6.3.2-1 and 6.6.3.2-2</w:t>
            </w:r>
            <w:r>
              <w:rPr>
                <w:rFonts w:hint="eastAsia" w:eastAsia="宋体"/>
                <w:kern w:val="2"/>
                <w:sz w:val="20"/>
                <w:szCs w:val="20"/>
                <w:lang w:val="en-US" w:eastAsia="zh-CN"/>
              </w:rPr>
              <w:t>.</w:t>
            </w:r>
            <w:r>
              <w:rPr>
                <w:rFonts w:eastAsia="Times New Roman"/>
                <w:color w:val="000000"/>
                <w:sz w:val="20"/>
                <w:szCs w:val="20"/>
                <w:lang w:eastAsia="fi-FI"/>
              </w:rPr>
              <w:t xml:space="preserve"> --&gt; </w:t>
            </w: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0" w:hRule="atLeast"/>
        </w:trPr>
        <w:tc>
          <w:tcPr>
            <w:tcW w:w="0" w:type="auto"/>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keepLines/>
              <w:widowControl w:val="0"/>
              <w:spacing w:after="0"/>
              <w:rPr>
                <w:rFonts w:hint="eastAsia" w:ascii="Times New Roman" w:hAnsi="Times New Roman" w:eastAsia="PMingLiU" w:cs="Times New Roman"/>
                <w:kern w:val="2"/>
                <w:sz w:val="20"/>
                <w:szCs w:val="20"/>
                <w:lang w:val="en-US" w:eastAsia="zh-CN" w:bidi="ar-SA"/>
              </w:rPr>
            </w:pPr>
            <w:r>
              <w:rPr>
                <w:rFonts w:eastAsia="PMingLiU"/>
                <w:kern w:val="2"/>
                <w:sz w:val="20"/>
                <w:szCs w:val="20"/>
                <w:lang w:eastAsia="zh-TW"/>
              </w:rPr>
              <w:t>9.7.4 OTA o</w:t>
            </w:r>
            <w:r>
              <w:rPr>
                <w:rFonts w:eastAsia="PMingLiU"/>
                <w:kern w:val="2"/>
                <w:sz w:val="20"/>
                <w:szCs w:val="20"/>
                <w:lang w:val="en-US" w:eastAsia="zh-CN"/>
              </w:rPr>
              <w:t>ut-of-band emissions</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val="0"/>
              <w:spacing w:after="0"/>
              <w:rPr>
                <w:rFonts w:hint="eastAsia" w:ascii="Times New Roman" w:hAnsi="Times New Roman" w:eastAsia="PMingLiU" w:cs="Times New Roman"/>
                <w:kern w:val="2"/>
                <w:sz w:val="20"/>
                <w:szCs w:val="20"/>
                <w:lang w:val="en-US" w:eastAsia="zh-CN" w:bidi="ar-SA"/>
              </w:rPr>
            </w:pP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0" w:hRule="atLeast"/>
        </w:trPr>
        <w:tc>
          <w:tcPr>
            <w:tcW w:w="0" w:type="auto"/>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keepLines/>
              <w:widowControl w:val="0"/>
              <w:spacing w:after="0"/>
              <w:rPr>
                <w:rFonts w:hint="eastAsia" w:ascii="Times New Roman" w:hAnsi="Times New Roman" w:eastAsia="PMingLiU" w:cs="Times New Roman"/>
                <w:kern w:val="2"/>
                <w:sz w:val="20"/>
                <w:szCs w:val="20"/>
                <w:lang w:val="en-US" w:eastAsia="zh-CN" w:bidi="ar-SA"/>
              </w:rPr>
            </w:pPr>
            <w:r>
              <w:rPr>
                <w:rFonts w:eastAsia="PMingLiU"/>
                <w:kern w:val="2"/>
                <w:sz w:val="20"/>
                <w:szCs w:val="20"/>
                <w:lang w:eastAsia="zh-TW"/>
              </w:rPr>
              <w:t>9.7.5 OTA t</w:t>
            </w:r>
            <w:r>
              <w:rPr>
                <w:rFonts w:eastAsia="PMingLiU"/>
                <w:kern w:val="2"/>
                <w:sz w:val="20"/>
                <w:szCs w:val="20"/>
                <w:lang w:val="en-US" w:eastAsia="zh-CN"/>
              </w:rPr>
              <w:t>ransmitter spurious emissions</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val="0"/>
              <w:spacing w:after="0"/>
              <w:rPr>
                <w:rFonts w:hint="eastAsia" w:ascii="Times New Roman" w:hAnsi="Times New Roman" w:eastAsia="PMingLiU" w:cs="Times New Roman"/>
                <w:kern w:val="2"/>
                <w:sz w:val="20"/>
                <w:szCs w:val="20"/>
                <w:lang w:val="en-US" w:eastAsia="zh-CN" w:bidi="ar-SA"/>
              </w:rPr>
            </w:pP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0" w:hRule="atLeast"/>
        </w:trPr>
        <w:tc>
          <w:tcPr>
            <w:tcW w:w="0" w:type="auto"/>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keepLines/>
              <w:widowControl w:val="0"/>
              <w:spacing w:after="0"/>
              <w:rPr>
                <w:rFonts w:hint="eastAsia" w:ascii="Times New Roman" w:hAnsi="Times New Roman" w:eastAsia="PMingLiU" w:cs="Times New Roman"/>
                <w:kern w:val="2"/>
                <w:sz w:val="20"/>
                <w:szCs w:val="20"/>
                <w:lang w:val="en-US" w:eastAsia="zh-CN" w:bidi="ar-SA"/>
              </w:rPr>
            </w:pPr>
            <w:r>
              <w:rPr>
                <w:rFonts w:eastAsia="PMingLiU"/>
                <w:kern w:val="2"/>
                <w:sz w:val="20"/>
                <w:szCs w:val="20"/>
                <w:lang w:eastAsia="zh-TW"/>
              </w:rPr>
              <w:t>9.8 OTA t</w:t>
            </w:r>
            <w:r>
              <w:rPr>
                <w:rFonts w:eastAsia="PMingLiU"/>
                <w:kern w:val="2"/>
                <w:sz w:val="20"/>
                <w:szCs w:val="20"/>
                <w:lang w:val="en-US" w:eastAsia="zh-CN"/>
              </w:rPr>
              <w:t>ransmitter intermodulation</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val="0"/>
              <w:spacing w:after="0"/>
              <w:rPr>
                <w:rFonts w:hint="eastAsia" w:ascii="Times New Roman" w:hAnsi="Times New Roman" w:eastAsia="PMingLiU" w:cs="Times New Roman"/>
                <w:kern w:val="2"/>
                <w:sz w:val="20"/>
                <w:szCs w:val="20"/>
                <w:lang w:val="en-US" w:eastAsia="zh-CN" w:bidi="ar-SA"/>
              </w:rPr>
            </w:pPr>
            <w:r>
              <w:rPr>
                <w:rFonts w:hint="eastAsia" w:eastAsia="宋体"/>
                <w:color w:val="000000"/>
                <w:sz w:val="20"/>
                <w:szCs w:val="20"/>
                <w:lang w:val="en-US" w:eastAsia="zh-CN"/>
              </w:rPr>
              <w:t>Not applicable</w:t>
            </w:r>
            <w:r>
              <w:rPr>
                <w:rFonts w:hint="eastAsia"/>
                <w:color w:val="000000"/>
                <w:sz w:val="20"/>
                <w:szCs w:val="20"/>
                <w:lang w:val="en-US" w:eastAsia="zh-CN"/>
              </w:rPr>
              <w:t>.</w:t>
            </w:r>
          </w:p>
        </w:tc>
      </w:tr>
      <w:tr>
        <w:tblPrEx>
          <w:tblCellMar>
            <w:top w:w="0" w:type="dxa"/>
            <w:left w:w="70" w:type="dxa"/>
            <w:bottom w:w="0" w:type="dxa"/>
            <w:right w:w="70" w:type="dxa"/>
          </w:tblCellMar>
        </w:tblPrEx>
        <w:trPr>
          <w:trHeight w:val="0" w:hRule="atLeast"/>
        </w:trPr>
        <w:tc>
          <w:tcPr>
            <w:tcW w:w="9800" w:type="dxa"/>
            <w:gridSpan w:val="2"/>
            <w:tcBorders>
              <w:top w:val="single" w:color="auto" w:sz="4" w:space="0"/>
              <w:left w:val="single" w:color="auto" w:sz="4" w:space="0"/>
              <w:bottom w:val="single" w:color="auto" w:sz="4" w:space="0"/>
              <w:right w:val="single" w:color="auto" w:sz="4" w:space="0"/>
            </w:tcBorders>
            <w:shd w:val="clear" w:color="000000" w:fill="D7D7D7" w:themeFill="background1" w:themeFillShade="D8"/>
            <w:noWrap w:val="0"/>
            <w:vAlign w:val="top"/>
          </w:tcPr>
          <w:p>
            <w:pPr>
              <w:keepNext w:val="0"/>
              <w:keepLines w:val="0"/>
              <w:pageBreakBefore w:val="0"/>
              <w:widowControl/>
              <w:kinsoku/>
              <w:wordWrap/>
              <w:overflowPunct/>
              <w:topLinePunct w:val="0"/>
              <w:autoSpaceDE/>
              <w:autoSpaceDN/>
              <w:bidi w:val="0"/>
              <w:adjustRightInd/>
              <w:snapToGrid w:val="0"/>
              <w:spacing w:before="0" w:beforeLines="50" w:after="0" w:afterLines="50" w:line="240" w:lineRule="auto"/>
              <w:textAlignment w:val="auto"/>
              <w:rPr>
                <w:rFonts w:hint="eastAsia"/>
                <w:color w:val="000000"/>
                <w:sz w:val="20"/>
                <w:szCs w:val="20"/>
                <w:lang w:val="en-US" w:eastAsia="zh-CN"/>
              </w:rPr>
            </w:pPr>
            <w:r>
              <w:rPr>
                <w:rFonts w:hint="eastAsia"/>
                <w:b/>
                <w:bCs/>
                <w:sz w:val="20"/>
                <w:szCs w:val="20"/>
                <w:lang w:val="en-US" w:eastAsia="zh-CN"/>
              </w:rPr>
              <w:t>Radiated Rx Requirements</w:t>
            </w:r>
          </w:p>
        </w:tc>
      </w:tr>
      <w:tr>
        <w:tblPrEx>
          <w:tblCellMar>
            <w:top w:w="0" w:type="dxa"/>
            <w:left w:w="70" w:type="dxa"/>
            <w:bottom w:w="0" w:type="dxa"/>
            <w:right w:w="70" w:type="dxa"/>
          </w:tblCellMar>
        </w:tblPrEx>
        <w:trPr>
          <w:trHeight w:val="0" w:hRule="atLeast"/>
        </w:trPr>
        <w:tc>
          <w:tcPr>
            <w:tcW w:w="331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keepLines/>
              <w:widowControl w:val="0"/>
              <w:spacing w:after="0"/>
              <w:rPr>
                <w:rFonts w:hint="eastAsia"/>
                <w:sz w:val="20"/>
                <w:szCs w:val="20"/>
                <w:lang w:val="en-US" w:eastAsia="zh-CN"/>
              </w:rPr>
            </w:pPr>
            <w:r>
              <w:rPr>
                <w:rFonts w:eastAsia="PMingLiU"/>
                <w:kern w:val="2"/>
                <w:sz w:val="20"/>
                <w:szCs w:val="20"/>
                <w:lang w:eastAsia="zh-TW"/>
              </w:rPr>
              <w:t xml:space="preserve">10.2 </w:t>
            </w:r>
            <w:r>
              <w:rPr>
                <w:rFonts w:eastAsia="PMingLiU"/>
                <w:kern w:val="2"/>
                <w:sz w:val="20"/>
                <w:szCs w:val="20"/>
                <w:lang w:val="en-US" w:eastAsia="zh-TW"/>
              </w:rPr>
              <w:t>OTA sensitivity</w:t>
            </w:r>
          </w:p>
        </w:tc>
        <w:tc>
          <w:tcPr>
            <w:tcW w:w="648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val="0"/>
              <w:spacing w:after="0"/>
              <w:rPr>
                <w:rFonts w:hint="eastAsia"/>
                <w:color w:val="000000"/>
                <w:sz w:val="20"/>
                <w:szCs w:val="20"/>
                <w:lang w:val="en-US" w:eastAsia="zh-CN"/>
              </w:rPr>
            </w:pP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0" w:hRule="atLeast"/>
        </w:trPr>
        <w:tc>
          <w:tcPr>
            <w:tcW w:w="331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keepLines/>
              <w:widowControl w:val="0"/>
              <w:spacing w:after="0"/>
              <w:rPr>
                <w:rFonts w:hint="eastAsia"/>
                <w:sz w:val="20"/>
                <w:szCs w:val="20"/>
                <w:lang w:val="en-US" w:eastAsia="zh-CN"/>
              </w:rPr>
            </w:pPr>
            <w:r>
              <w:rPr>
                <w:rFonts w:eastAsia="PMingLiU"/>
                <w:kern w:val="2"/>
                <w:sz w:val="20"/>
                <w:szCs w:val="20"/>
                <w:lang w:eastAsia="zh-TW"/>
              </w:rPr>
              <w:t>10.3 OTA reference sensitivity level</w:t>
            </w:r>
          </w:p>
        </w:tc>
        <w:tc>
          <w:tcPr>
            <w:tcW w:w="648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val="0"/>
              <w:spacing w:after="0"/>
              <w:rPr>
                <w:rFonts w:hint="eastAsia"/>
                <w:color w:val="000000"/>
                <w:sz w:val="20"/>
                <w:szCs w:val="20"/>
                <w:lang w:val="en-US" w:eastAsia="zh-CN"/>
              </w:rPr>
            </w:pPr>
            <w:r>
              <w:rPr>
                <w:rFonts w:hint="eastAsia"/>
                <w:color w:val="000000"/>
                <w:sz w:val="20"/>
                <w:szCs w:val="20"/>
                <w:lang w:val="en-US" w:eastAsia="zh-CN"/>
              </w:rPr>
              <w:t xml:space="preserve">Need to define requirements for </w:t>
            </w:r>
            <w:r>
              <w:rPr>
                <w:rFonts w:hint="eastAsia" w:eastAsia="宋体"/>
                <w:color w:val="000000"/>
                <w:sz w:val="20"/>
                <w:szCs w:val="20"/>
                <w:lang w:val="en-US" w:eastAsia="zh-CN"/>
              </w:rPr>
              <w:t>new channel bandwidths.</w:t>
            </w:r>
          </w:p>
        </w:tc>
      </w:tr>
      <w:tr>
        <w:tblPrEx>
          <w:tblCellMar>
            <w:top w:w="0" w:type="dxa"/>
            <w:left w:w="70" w:type="dxa"/>
            <w:bottom w:w="0" w:type="dxa"/>
            <w:right w:w="70" w:type="dxa"/>
          </w:tblCellMar>
        </w:tblPrEx>
        <w:trPr>
          <w:trHeight w:val="0" w:hRule="atLeast"/>
        </w:trPr>
        <w:tc>
          <w:tcPr>
            <w:tcW w:w="331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keepLines/>
              <w:widowControl w:val="0"/>
              <w:spacing w:after="0"/>
              <w:rPr>
                <w:rFonts w:hint="eastAsia"/>
                <w:sz w:val="20"/>
                <w:szCs w:val="20"/>
                <w:lang w:val="en-US" w:eastAsia="zh-CN"/>
              </w:rPr>
            </w:pPr>
            <w:r>
              <w:rPr>
                <w:rFonts w:eastAsia="PMingLiU"/>
                <w:kern w:val="2"/>
                <w:sz w:val="20"/>
                <w:szCs w:val="20"/>
                <w:lang w:eastAsia="zh-TW"/>
              </w:rPr>
              <w:t>10.4 OTA d</w:t>
            </w:r>
            <w:r>
              <w:rPr>
                <w:rFonts w:eastAsia="PMingLiU"/>
                <w:kern w:val="2"/>
                <w:sz w:val="20"/>
                <w:szCs w:val="20"/>
                <w:lang w:val="en-US" w:eastAsia="zh-CN"/>
              </w:rPr>
              <w:t>ynamic range</w:t>
            </w:r>
          </w:p>
        </w:tc>
        <w:tc>
          <w:tcPr>
            <w:tcW w:w="648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val="0"/>
              <w:spacing w:after="0"/>
              <w:rPr>
                <w:rFonts w:hint="eastAsia"/>
                <w:color w:val="000000"/>
                <w:sz w:val="20"/>
                <w:szCs w:val="20"/>
                <w:lang w:val="en-US" w:eastAsia="zh-CN"/>
              </w:rPr>
            </w:pPr>
            <w:r>
              <w:rPr>
                <w:rFonts w:hint="eastAsia"/>
                <w:color w:val="000000"/>
                <w:sz w:val="20"/>
                <w:szCs w:val="20"/>
                <w:lang w:val="en-US" w:eastAsia="zh-CN"/>
              </w:rPr>
              <w:t xml:space="preserve">Need to define requirements for </w:t>
            </w:r>
            <w:r>
              <w:rPr>
                <w:rFonts w:hint="eastAsia" w:eastAsia="宋体"/>
                <w:color w:val="000000"/>
                <w:sz w:val="20"/>
                <w:szCs w:val="20"/>
                <w:lang w:val="en-US" w:eastAsia="zh-CN"/>
              </w:rPr>
              <w:t>new channel bandwidths.</w:t>
            </w:r>
          </w:p>
        </w:tc>
      </w:tr>
      <w:tr>
        <w:tblPrEx>
          <w:tblCellMar>
            <w:top w:w="0" w:type="dxa"/>
            <w:left w:w="70" w:type="dxa"/>
            <w:bottom w:w="0" w:type="dxa"/>
            <w:right w:w="70" w:type="dxa"/>
          </w:tblCellMar>
        </w:tblPrEx>
        <w:trPr>
          <w:trHeight w:val="0" w:hRule="atLeast"/>
        </w:trPr>
        <w:tc>
          <w:tcPr>
            <w:tcW w:w="331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keepLines/>
              <w:widowControl w:val="0"/>
              <w:spacing w:after="0"/>
              <w:rPr>
                <w:rFonts w:hint="eastAsia"/>
                <w:sz w:val="20"/>
                <w:szCs w:val="20"/>
                <w:lang w:val="en-US" w:eastAsia="zh-CN"/>
              </w:rPr>
            </w:pPr>
            <w:r>
              <w:rPr>
                <w:rFonts w:eastAsia="PMingLiU"/>
                <w:kern w:val="2"/>
                <w:sz w:val="20"/>
                <w:szCs w:val="20"/>
                <w:lang w:eastAsia="zh-TW"/>
              </w:rPr>
              <w:t xml:space="preserve">10.5.1 </w:t>
            </w:r>
            <w:r>
              <w:rPr>
                <w:rFonts w:hint="eastAsia" w:eastAsia="宋体"/>
                <w:kern w:val="2"/>
                <w:sz w:val="20"/>
                <w:szCs w:val="20"/>
                <w:lang w:val="en-US" w:eastAsia="zh-CN"/>
              </w:rPr>
              <w:t xml:space="preserve">OTA </w:t>
            </w:r>
            <w:r>
              <w:rPr>
                <w:rFonts w:hint="eastAsia" w:eastAsia="PMingLiU"/>
                <w:kern w:val="2"/>
                <w:sz w:val="20"/>
                <w:szCs w:val="20"/>
                <w:lang w:val="en-US" w:eastAsia="zh-CN"/>
              </w:rPr>
              <w:t>a</w:t>
            </w:r>
            <w:r>
              <w:rPr>
                <w:rFonts w:eastAsia="PMingLiU"/>
                <w:kern w:val="2"/>
                <w:sz w:val="20"/>
                <w:szCs w:val="20"/>
                <w:lang w:val="en-US" w:eastAsia="zh-CN"/>
              </w:rPr>
              <w:t xml:space="preserve">djacent </w:t>
            </w:r>
            <w:r>
              <w:rPr>
                <w:rFonts w:hint="eastAsia" w:eastAsia="PMingLiU"/>
                <w:kern w:val="2"/>
                <w:sz w:val="20"/>
                <w:szCs w:val="20"/>
                <w:lang w:val="en-US" w:eastAsia="zh-CN"/>
              </w:rPr>
              <w:t>c</w:t>
            </w:r>
            <w:r>
              <w:rPr>
                <w:rFonts w:eastAsia="PMingLiU"/>
                <w:kern w:val="2"/>
                <w:sz w:val="20"/>
                <w:szCs w:val="20"/>
                <w:lang w:val="en-US" w:eastAsia="zh-CN"/>
              </w:rPr>
              <w:t xml:space="preserve">hannel </w:t>
            </w:r>
            <w:r>
              <w:rPr>
                <w:rFonts w:hint="eastAsia" w:eastAsia="PMingLiU"/>
                <w:kern w:val="2"/>
                <w:sz w:val="20"/>
                <w:szCs w:val="20"/>
                <w:lang w:val="en-US" w:eastAsia="zh-CN"/>
              </w:rPr>
              <w:t>s</w:t>
            </w:r>
            <w:r>
              <w:rPr>
                <w:rFonts w:eastAsia="PMingLiU"/>
                <w:kern w:val="2"/>
                <w:sz w:val="20"/>
                <w:szCs w:val="20"/>
                <w:lang w:val="en-US" w:eastAsia="zh-CN"/>
              </w:rPr>
              <w:t xml:space="preserve">electivity </w:t>
            </w:r>
          </w:p>
        </w:tc>
        <w:tc>
          <w:tcPr>
            <w:tcW w:w="648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val="0"/>
              <w:spacing w:after="0"/>
              <w:rPr>
                <w:rFonts w:hint="eastAsia"/>
                <w:color w:val="000000"/>
                <w:sz w:val="20"/>
                <w:szCs w:val="20"/>
                <w:lang w:val="en-US" w:eastAsia="zh-CN"/>
              </w:rPr>
            </w:pPr>
            <w:r>
              <w:rPr>
                <w:rFonts w:hint="eastAsia" w:eastAsia="宋体"/>
                <w:color w:val="000000"/>
                <w:sz w:val="20"/>
                <w:szCs w:val="20"/>
                <w:lang w:val="en-US" w:eastAsia="zh-CN"/>
              </w:rPr>
              <w:t>It depends on the outcome of coexistence study</w:t>
            </w:r>
            <w:r>
              <w:rPr>
                <w:rFonts w:hint="eastAsia" w:eastAsia="Times New Roman"/>
                <w:color w:val="000000"/>
                <w:sz w:val="20"/>
                <w:szCs w:val="20"/>
                <w:lang w:val="fi-FI" w:eastAsia="fi-FI"/>
              </w:rPr>
              <w:t xml:space="preserve">. </w:t>
            </w:r>
            <w:r>
              <w:rPr>
                <w:rFonts w:hint="eastAsia" w:eastAsia="宋体"/>
                <w:color w:val="000000"/>
                <w:sz w:val="20"/>
                <w:szCs w:val="20"/>
                <w:lang w:val="en-US" w:eastAsia="zh-CN"/>
              </w:rPr>
              <w:t>In addition, it n</w:t>
            </w:r>
            <w:r>
              <w:rPr>
                <w:rFonts w:hint="eastAsia"/>
                <w:color w:val="000000"/>
                <w:sz w:val="20"/>
                <w:szCs w:val="20"/>
                <w:lang w:val="en-US" w:eastAsia="zh-CN"/>
              </w:rPr>
              <w:t xml:space="preserve">eeds to define requirements for </w:t>
            </w:r>
            <w:r>
              <w:rPr>
                <w:rFonts w:hint="eastAsia" w:eastAsia="宋体"/>
                <w:color w:val="000000"/>
                <w:sz w:val="20"/>
                <w:szCs w:val="20"/>
                <w:lang w:val="en-US" w:eastAsia="zh-CN"/>
              </w:rPr>
              <w:t>new channel bandwidths.</w:t>
            </w:r>
          </w:p>
        </w:tc>
      </w:tr>
      <w:tr>
        <w:tblPrEx>
          <w:tblCellMar>
            <w:top w:w="0" w:type="dxa"/>
            <w:left w:w="70" w:type="dxa"/>
            <w:bottom w:w="0" w:type="dxa"/>
            <w:right w:w="70" w:type="dxa"/>
          </w:tblCellMar>
        </w:tblPrEx>
        <w:trPr>
          <w:trHeight w:val="0" w:hRule="atLeast"/>
        </w:trPr>
        <w:tc>
          <w:tcPr>
            <w:tcW w:w="331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keepLines/>
              <w:widowControl w:val="0"/>
              <w:spacing w:after="0"/>
              <w:rPr>
                <w:rFonts w:hint="eastAsia"/>
                <w:sz w:val="20"/>
                <w:szCs w:val="20"/>
                <w:lang w:val="en-US" w:eastAsia="zh-CN"/>
              </w:rPr>
            </w:pPr>
            <w:r>
              <w:rPr>
                <w:rFonts w:eastAsia="PMingLiU"/>
                <w:kern w:val="2"/>
                <w:sz w:val="20"/>
                <w:szCs w:val="20"/>
                <w:lang w:eastAsia="zh-TW"/>
              </w:rPr>
              <w:t>10.5.2 OTA i</w:t>
            </w:r>
            <w:r>
              <w:rPr>
                <w:rFonts w:eastAsia="PMingLiU"/>
                <w:kern w:val="2"/>
                <w:sz w:val="20"/>
                <w:szCs w:val="20"/>
                <w:lang w:val="en-US" w:eastAsia="zh-CN"/>
              </w:rPr>
              <w:t>n-band blocking</w:t>
            </w:r>
          </w:p>
        </w:tc>
        <w:tc>
          <w:tcPr>
            <w:tcW w:w="648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val="0"/>
              <w:spacing w:after="0"/>
              <w:rPr>
                <w:rFonts w:hint="eastAsia"/>
                <w:color w:val="000000"/>
                <w:sz w:val="20"/>
                <w:szCs w:val="20"/>
                <w:lang w:val="en-US" w:eastAsia="zh-CN"/>
              </w:rPr>
            </w:pPr>
            <w:r>
              <w:rPr>
                <w:rFonts w:hint="eastAsia" w:eastAsia="宋体"/>
                <w:color w:val="000000"/>
                <w:sz w:val="20"/>
                <w:szCs w:val="20"/>
                <w:lang w:val="en-US" w:eastAsia="zh-CN"/>
              </w:rPr>
              <w:t>Not applicable</w:t>
            </w:r>
            <w:r>
              <w:rPr>
                <w:rFonts w:hint="eastAsia"/>
                <w:color w:val="000000"/>
                <w:sz w:val="20"/>
                <w:szCs w:val="20"/>
                <w:lang w:val="en-US" w:eastAsia="zh-CN"/>
              </w:rPr>
              <w:t>.</w:t>
            </w:r>
          </w:p>
        </w:tc>
      </w:tr>
      <w:tr>
        <w:tblPrEx>
          <w:tblCellMar>
            <w:top w:w="0" w:type="dxa"/>
            <w:left w:w="70" w:type="dxa"/>
            <w:bottom w:w="0" w:type="dxa"/>
            <w:right w:w="70" w:type="dxa"/>
          </w:tblCellMar>
        </w:tblPrEx>
        <w:trPr>
          <w:trHeight w:val="0" w:hRule="atLeast"/>
        </w:trPr>
        <w:tc>
          <w:tcPr>
            <w:tcW w:w="331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keepLines/>
              <w:widowControl w:val="0"/>
              <w:spacing w:after="0"/>
              <w:rPr>
                <w:rFonts w:hint="eastAsia"/>
                <w:sz w:val="20"/>
                <w:szCs w:val="20"/>
                <w:lang w:val="en-US" w:eastAsia="zh-CN"/>
              </w:rPr>
            </w:pPr>
            <w:r>
              <w:rPr>
                <w:rFonts w:eastAsia="PMingLiU"/>
                <w:kern w:val="2"/>
                <w:sz w:val="20"/>
                <w:szCs w:val="20"/>
                <w:lang w:eastAsia="zh-TW"/>
              </w:rPr>
              <w:t>10.6 OTA o</w:t>
            </w:r>
            <w:r>
              <w:rPr>
                <w:rFonts w:eastAsia="PMingLiU"/>
                <w:kern w:val="2"/>
                <w:sz w:val="20"/>
                <w:szCs w:val="20"/>
                <w:lang w:val="en-US" w:eastAsia="zh-CN"/>
              </w:rPr>
              <w:t>ut-of-band blocking</w:t>
            </w:r>
          </w:p>
        </w:tc>
        <w:tc>
          <w:tcPr>
            <w:tcW w:w="648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val="0"/>
              <w:spacing w:after="0"/>
              <w:rPr>
                <w:rFonts w:hint="eastAsia"/>
                <w:color w:val="000000"/>
                <w:sz w:val="20"/>
                <w:szCs w:val="20"/>
                <w:lang w:val="en-US" w:eastAsia="zh-CN"/>
              </w:rPr>
            </w:pPr>
            <w:r>
              <w:rPr>
                <w:rFonts w:hint="eastAsia" w:eastAsia="宋体"/>
                <w:color w:val="000000"/>
                <w:sz w:val="20"/>
                <w:szCs w:val="20"/>
                <w:lang w:val="en-US" w:eastAsia="zh-CN"/>
              </w:rPr>
              <w:t>No specification impact.</w:t>
            </w:r>
          </w:p>
        </w:tc>
      </w:tr>
      <w:tr>
        <w:tblPrEx>
          <w:tblCellMar>
            <w:top w:w="0" w:type="dxa"/>
            <w:left w:w="70" w:type="dxa"/>
            <w:bottom w:w="0" w:type="dxa"/>
            <w:right w:w="70" w:type="dxa"/>
          </w:tblCellMar>
        </w:tblPrEx>
        <w:trPr>
          <w:trHeight w:val="0" w:hRule="atLeast"/>
        </w:trPr>
        <w:tc>
          <w:tcPr>
            <w:tcW w:w="331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keepLines/>
              <w:widowControl w:val="0"/>
              <w:spacing w:after="0"/>
              <w:rPr>
                <w:rFonts w:hint="eastAsia"/>
                <w:sz w:val="20"/>
                <w:szCs w:val="20"/>
                <w:lang w:val="en-US" w:eastAsia="zh-CN"/>
              </w:rPr>
            </w:pPr>
            <w:r>
              <w:rPr>
                <w:rFonts w:eastAsia="PMingLiU"/>
                <w:kern w:val="2"/>
                <w:sz w:val="20"/>
                <w:szCs w:val="20"/>
                <w:lang w:eastAsia="zh-TW"/>
              </w:rPr>
              <w:t xml:space="preserve">10.7 OTA </w:t>
            </w:r>
            <w:r>
              <w:rPr>
                <w:rFonts w:hint="eastAsia" w:eastAsia="宋体"/>
                <w:kern w:val="2"/>
                <w:sz w:val="20"/>
                <w:szCs w:val="20"/>
                <w:lang w:val="en-US" w:eastAsia="zh-CN"/>
              </w:rPr>
              <w:t>r</w:t>
            </w:r>
            <w:r>
              <w:rPr>
                <w:rFonts w:eastAsia="PMingLiU"/>
                <w:kern w:val="2"/>
                <w:sz w:val="20"/>
                <w:szCs w:val="20"/>
                <w:lang w:val="en-US" w:eastAsia="zh-CN"/>
              </w:rPr>
              <w:t>eceiver spurious emissions</w:t>
            </w:r>
          </w:p>
        </w:tc>
        <w:tc>
          <w:tcPr>
            <w:tcW w:w="648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val="0"/>
              <w:spacing w:after="0"/>
              <w:rPr>
                <w:rFonts w:hint="eastAsia"/>
                <w:color w:val="000000"/>
                <w:sz w:val="20"/>
                <w:szCs w:val="20"/>
                <w:lang w:val="en-US" w:eastAsia="zh-CN"/>
              </w:rPr>
            </w:pPr>
            <w:r>
              <w:rPr>
                <w:rFonts w:hint="eastAsia" w:eastAsia="宋体"/>
                <w:color w:val="000000"/>
                <w:sz w:val="20"/>
                <w:szCs w:val="20"/>
                <w:lang w:val="en-US" w:eastAsia="zh-CN"/>
              </w:rPr>
              <w:t>Not applicable</w:t>
            </w:r>
            <w:r>
              <w:rPr>
                <w:rFonts w:hint="eastAsia"/>
                <w:color w:val="000000"/>
                <w:sz w:val="20"/>
                <w:szCs w:val="20"/>
                <w:lang w:val="en-US" w:eastAsia="zh-CN"/>
              </w:rPr>
              <w:t>.</w:t>
            </w:r>
          </w:p>
        </w:tc>
      </w:tr>
      <w:tr>
        <w:tblPrEx>
          <w:tblCellMar>
            <w:top w:w="0" w:type="dxa"/>
            <w:left w:w="70" w:type="dxa"/>
            <w:bottom w:w="0" w:type="dxa"/>
            <w:right w:w="70" w:type="dxa"/>
          </w:tblCellMar>
        </w:tblPrEx>
        <w:trPr>
          <w:trHeight w:val="0" w:hRule="atLeast"/>
        </w:trPr>
        <w:tc>
          <w:tcPr>
            <w:tcW w:w="331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keepLines/>
              <w:widowControl w:val="0"/>
              <w:spacing w:after="0"/>
              <w:rPr>
                <w:rFonts w:eastAsia="PMingLiU"/>
                <w:kern w:val="2"/>
                <w:sz w:val="20"/>
                <w:szCs w:val="20"/>
                <w:lang w:eastAsia="zh-TW"/>
              </w:rPr>
            </w:pPr>
            <w:r>
              <w:rPr>
                <w:rFonts w:hint="eastAsia" w:eastAsia="PMingLiU"/>
                <w:kern w:val="2"/>
                <w:sz w:val="20"/>
                <w:szCs w:val="20"/>
                <w:lang w:eastAsia="zh-TW"/>
              </w:rPr>
              <w:t>10.8</w:t>
            </w:r>
            <w:r>
              <w:rPr>
                <w:rFonts w:hint="eastAsia" w:eastAsia="PMingLiU"/>
                <w:kern w:val="2"/>
                <w:sz w:val="20"/>
                <w:szCs w:val="20"/>
                <w:lang w:eastAsia="zh-TW"/>
              </w:rPr>
              <w:tab/>
            </w:r>
            <w:r>
              <w:rPr>
                <w:rFonts w:hint="eastAsia" w:eastAsia="PMingLiU"/>
                <w:kern w:val="2"/>
                <w:sz w:val="20"/>
                <w:szCs w:val="20"/>
                <w:lang w:eastAsia="zh-TW"/>
              </w:rPr>
              <w:t>OTA receiver intermodulation</w:t>
            </w:r>
          </w:p>
        </w:tc>
        <w:tc>
          <w:tcPr>
            <w:tcW w:w="648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val="0"/>
              <w:spacing w:after="0"/>
              <w:rPr>
                <w:rFonts w:hint="eastAsia" w:eastAsia="宋体"/>
                <w:color w:val="000000"/>
                <w:sz w:val="20"/>
                <w:szCs w:val="20"/>
                <w:lang w:val="en-US" w:eastAsia="zh-CN"/>
              </w:rPr>
            </w:pPr>
            <w:r>
              <w:rPr>
                <w:rFonts w:hint="eastAsia" w:eastAsia="宋体"/>
                <w:color w:val="000000"/>
                <w:sz w:val="20"/>
                <w:szCs w:val="20"/>
                <w:lang w:val="en-US" w:eastAsia="zh-CN"/>
              </w:rPr>
              <w:t>Not applicable</w:t>
            </w:r>
            <w:r>
              <w:rPr>
                <w:rFonts w:hint="eastAsia"/>
                <w:color w:val="000000"/>
                <w:sz w:val="20"/>
                <w:szCs w:val="20"/>
                <w:lang w:val="en-US" w:eastAsia="zh-CN"/>
              </w:rPr>
              <w:t>.</w:t>
            </w:r>
          </w:p>
        </w:tc>
      </w:tr>
      <w:tr>
        <w:tblPrEx>
          <w:tblCellMar>
            <w:top w:w="0" w:type="dxa"/>
            <w:left w:w="70" w:type="dxa"/>
            <w:bottom w:w="0" w:type="dxa"/>
            <w:right w:w="70" w:type="dxa"/>
          </w:tblCellMar>
        </w:tblPrEx>
        <w:trPr>
          <w:trHeight w:val="0" w:hRule="atLeast"/>
        </w:trPr>
        <w:tc>
          <w:tcPr>
            <w:tcW w:w="331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keepNext/>
              <w:keepLines/>
              <w:widowControl w:val="0"/>
              <w:spacing w:after="0"/>
              <w:rPr>
                <w:rFonts w:hint="eastAsia"/>
                <w:sz w:val="20"/>
                <w:szCs w:val="20"/>
                <w:lang w:val="en-US" w:eastAsia="zh-CN"/>
              </w:rPr>
            </w:pPr>
            <w:r>
              <w:rPr>
                <w:rFonts w:eastAsia="PMingLiU"/>
                <w:kern w:val="2"/>
                <w:sz w:val="20"/>
                <w:szCs w:val="20"/>
                <w:lang w:eastAsia="zh-TW"/>
              </w:rPr>
              <w:t>10.</w:t>
            </w:r>
            <w:r>
              <w:rPr>
                <w:rFonts w:hint="eastAsia" w:eastAsia="宋体"/>
                <w:kern w:val="2"/>
                <w:sz w:val="20"/>
                <w:szCs w:val="20"/>
                <w:lang w:val="en-US" w:eastAsia="zh-CN"/>
              </w:rPr>
              <w:t>9</w:t>
            </w:r>
            <w:r>
              <w:rPr>
                <w:rFonts w:eastAsia="PMingLiU"/>
                <w:kern w:val="2"/>
                <w:sz w:val="20"/>
                <w:szCs w:val="20"/>
                <w:lang w:eastAsia="zh-TW"/>
              </w:rPr>
              <w:t xml:space="preserve"> OTA i</w:t>
            </w:r>
            <w:r>
              <w:rPr>
                <w:rFonts w:eastAsia="PMingLiU"/>
                <w:kern w:val="2"/>
                <w:sz w:val="20"/>
                <w:szCs w:val="20"/>
                <w:lang w:val="en-US" w:eastAsia="zh-CN"/>
              </w:rPr>
              <w:t>n-channel selectivity</w:t>
            </w:r>
          </w:p>
        </w:tc>
        <w:tc>
          <w:tcPr>
            <w:tcW w:w="648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keepNext/>
              <w:keepLines/>
              <w:widowControl w:val="0"/>
              <w:spacing w:after="0"/>
              <w:rPr>
                <w:rFonts w:hint="eastAsia"/>
                <w:color w:val="000000"/>
                <w:sz w:val="20"/>
                <w:szCs w:val="20"/>
                <w:lang w:val="en-US" w:eastAsia="zh-CN"/>
              </w:rPr>
            </w:pPr>
            <w:r>
              <w:rPr>
                <w:rFonts w:hint="eastAsia"/>
                <w:color w:val="000000"/>
                <w:sz w:val="20"/>
                <w:szCs w:val="20"/>
                <w:lang w:val="en-US" w:eastAsia="zh-CN"/>
              </w:rPr>
              <w:t xml:space="preserve">Need to define requirements for </w:t>
            </w:r>
            <w:r>
              <w:rPr>
                <w:rFonts w:hint="eastAsia" w:eastAsia="宋体"/>
                <w:color w:val="000000"/>
                <w:sz w:val="20"/>
                <w:szCs w:val="20"/>
                <w:lang w:val="en-US" w:eastAsia="zh-CN"/>
              </w:rPr>
              <w:t>new channel bandwidths.</w:t>
            </w:r>
          </w:p>
        </w:tc>
      </w:tr>
    </w:tbl>
    <w:p>
      <w:pPr>
        <w:rPr>
          <w:rFonts w:hint="eastAsia"/>
          <w:b/>
          <w:bCs/>
          <w:i w:val="0"/>
          <w:iCs w:val="0"/>
          <w:sz w:val="20"/>
          <w:szCs w:val="20"/>
          <w:lang w:val="en-US" w:eastAsia="zh-CN"/>
        </w:rPr>
      </w:pPr>
    </w:p>
    <w:p>
      <w:pPr>
        <w:rPr>
          <w:rFonts w:hint="eastAsia"/>
          <w:b/>
          <w:bCs/>
          <w:i w:val="0"/>
          <w:iCs w:val="0"/>
          <w:sz w:val="20"/>
          <w:szCs w:val="20"/>
          <w:lang w:val="en-US" w:eastAsia="zh-CN"/>
        </w:rPr>
      </w:pPr>
      <w:r>
        <w:rPr>
          <w:rFonts w:hint="eastAsia"/>
          <w:b/>
          <w:bCs/>
          <w:i w:val="0"/>
          <w:iCs w:val="0"/>
          <w:sz w:val="20"/>
          <w:szCs w:val="20"/>
          <w:lang w:val="en-US" w:eastAsia="zh-CN"/>
        </w:rPr>
        <w:t>Proposal 2: We make the proposals as Table 2.2 for SAN radiated RF requirements for NTN Ku band.</w:t>
      </w:r>
    </w:p>
    <w:p>
      <w:pPr>
        <w:rPr>
          <w:rFonts w:hint="eastAsia"/>
          <w:b/>
          <w:bCs/>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shared some views on </w:t>
      </w:r>
      <w:r>
        <w:rPr>
          <w:rFonts w:hint="eastAsia" w:cs="Times New Roman"/>
          <w:b w:val="0"/>
          <w:bCs w:val="0"/>
          <w:kern w:val="0"/>
          <w:sz w:val="20"/>
          <w:szCs w:val="20"/>
          <w:highlight w:val="none"/>
          <w:lang w:val="en-US" w:eastAsia="zh-CN" w:bidi="ar-SA"/>
        </w:rPr>
        <w:t>SAN RF requirements</w:t>
      </w:r>
      <w:r>
        <w:rPr>
          <w:rFonts w:hint="eastAsia" w:ascii="Times New Roman" w:hAnsi="Times New Roman" w:eastAsia="宋体" w:cs="Times New Roman"/>
          <w:b w:val="0"/>
          <w:bCs w:val="0"/>
          <w:kern w:val="0"/>
          <w:sz w:val="20"/>
          <w:szCs w:val="20"/>
          <w:highlight w:val="none"/>
          <w:lang w:val="en-US" w:eastAsia="zh-CN" w:bidi="ar-SA"/>
        </w:rPr>
        <w:t xml:space="preserve"> for NTN </w:t>
      </w:r>
      <w:r>
        <w:rPr>
          <w:rFonts w:hint="eastAsia" w:cs="Times New Roman"/>
          <w:b w:val="0"/>
          <w:bCs w:val="0"/>
          <w:kern w:val="0"/>
          <w:sz w:val="20"/>
          <w:szCs w:val="20"/>
          <w:highlight w:val="none"/>
          <w:lang w:val="en-US" w:eastAsia="zh-CN" w:bidi="ar-SA"/>
        </w:rPr>
        <w:t>Ku band</w:t>
      </w:r>
      <w:r>
        <w:rPr>
          <w:rFonts w:hint="eastAsia" w:ascii="Times New Roman" w:hAnsi="Times New Roman" w:eastAsia="宋体" w:cs="Times New Roman"/>
          <w:b w:val="0"/>
          <w:bCs w:val="0"/>
          <w:kern w:val="0"/>
          <w:sz w:val="20"/>
          <w:szCs w:val="20"/>
          <w:highlight w:val="none"/>
          <w:lang w:val="en-US" w:eastAsia="zh-CN" w:bidi="ar-SA"/>
        </w:rPr>
        <w:t xml:space="preserve"> 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s are</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rPr>
          <w:rFonts w:hint="eastAsia"/>
          <w:b/>
          <w:bCs/>
          <w:i w:val="0"/>
          <w:iCs w:val="0"/>
          <w:sz w:val="20"/>
          <w:szCs w:val="20"/>
          <w:lang w:val="en-US" w:eastAsia="zh-CN"/>
        </w:rPr>
      </w:pPr>
      <w:r>
        <w:rPr>
          <w:rFonts w:hint="eastAsia"/>
          <w:b/>
          <w:bCs/>
          <w:i w:val="0"/>
          <w:iCs w:val="0"/>
          <w:sz w:val="20"/>
          <w:szCs w:val="20"/>
          <w:lang w:val="en-US" w:eastAsia="zh-CN"/>
        </w:rPr>
        <w:t>Proposal 1: At least SAN type 1-O should be supported for Ku band.</w:t>
      </w:r>
    </w:p>
    <w:p>
      <w:pPr>
        <w:rPr>
          <w:rFonts w:hint="eastAsia"/>
          <w:b/>
          <w:bCs/>
          <w:i/>
          <w:iCs/>
          <w:sz w:val="20"/>
          <w:szCs w:val="20"/>
          <w:lang w:val="en-US" w:eastAsia="zh-CN"/>
        </w:rPr>
      </w:pPr>
      <w:r>
        <w:rPr>
          <w:rFonts w:hint="eastAsia"/>
          <w:b/>
          <w:bCs/>
          <w:i w:val="0"/>
          <w:iCs w:val="0"/>
          <w:sz w:val="20"/>
          <w:szCs w:val="20"/>
          <w:lang w:val="en-US" w:eastAsia="zh-CN"/>
        </w:rPr>
        <w:t>Proposal 2: We make the proposals as Table 2.2 for SAN RF requirements for NTN Ku band.</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12"/>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eastAsia"/>
          <w:sz w:val="20"/>
          <w:szCs w:val="20"/>
          <w:lang w:val="en-US" w:eastAsia="zh-CN"/>
        </w:rPr>
        <w:t>RP-241690, New WID on Introduction of Ku Band for NR NTN, Intelsat et al.</w:t>
      </w:r>
    </w:p>
    <w:p>
      <w:pPr>
        <w:keepNext/>
        <w:keepLines/>
        <w:pageBreakBefore w:val="0"/>
        <w:widowControl/>
        <w:numPr>
          <w:ilvl w:val="0"/>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keepLines/>
        <w:pageBreakBefore w:val="0"/>
        <w:widowControl/>
        <w:numPr>
          <w:ilvl w:val="-1"/>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center"/>
        <w:textAlignment w:val="auto"/>
        <w:rPr>
          <w:rFonts w:hint="default"/>
          <w:b/>
          <w:bCs/>
          <w:sz w:val="20"/>
          <w:szCs w:val="18"/>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imesNewRomanPS-ItalicMT">
    <w:altName w:val="Segoe Print"/>
    <w:panose1 w:val="00000000000000000000"/>
    <w:charset w:val="00"/>
    <w:family w:val="auto"/>
    <w:pitch w:val="default"/>
    <w:sig w:usb0="00000000" w:usb1="00000000" w:usb2="00000000" w:usb3="00000000" w:csb0="00000000" w:csb1="00000000"/>
  </w:font>
  <w:font w:name="PMingLiU">
    <w:altName w:val="PMingLiU-ExtB"/>
    <w:panose1 w:val="02020500000000000000"/>
    <w:charset w:val="88"/>
    <w:family w:val="roman"/>
    <w:pitch w:val="default"/>
    <w:sig w:usb0="00000000" w:usb1="00000000" w:usb2="00000016" w:usb3="00000000" w:csb0="00100001"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12AA3B83"/>
    <w:multiLevelType w:val="multilevel"/>
    <w:tmpl w:val="12AA3B8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decimal"/>
      <w:lvlText w:val="%3."/>
      <w:lvlJc w:val="left"/>
      <w:pPr>
        <w:ind w:left="2160" w:hanging="360"/>
      </w:p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2F73E4B"/>
    <w:multiLevelType w:val="multilevel"/>
    <w:tmpl w:val="12F73E4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lang w:val="en-GB"/>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9">
    <w:nsid w:val="5F723A5E"/>
    <w:multiLevelType w:val="singleLevel"/>
    <w:tmpl w:val="5F723A5E"/>
    <w:lvl w:ilvl="0" w:tentative="0">
      <w:start w:val="1"/>
      <w:numFmt w:val="decimal"/>
      <w:suff w:val="space"/>
      <w:lvlText w:val="[%1]"/>
      <w:lvlJc w:val="left"/>
    </w:lvl>
  </w:abstractNum>
  <w:abstractNum w:abstractNumId="10">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1">
    <w:nsid w:val="78A93F85"/>
    <w:multiLevelType w:val="multilevel"/>
    <w:tmpl w:val="78A93F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10"/>
  </w:num>
  <w:num w:numId="3">
    <w:abstractNumId w:val="8"/>
  </w:num>
  <w:num w:numId="4">
    <w:abstractNumId w:val="5"/>
  </w:num>
  <w:num w:numId="5">
    <w:abstractNumId w:val="6"/>
  </w:num>
  <w:num w:numId="6">
    <w:abstractNumId w:val="1"/>
  </w:num>
  <w:num w:numId="7">
    <w:abstractNumId w:val="0"/>
  </w:num>
  <w:num w:numId="8">
    <w:abstractNumId w:val="3"/>
  </w:num>
  <w:num w:numId="9">
    <w:abstractNumId w:val="11"/>
  </w:num>
  <w:num w:numId="10">
    <w:abstractNumId w:val="4"/>
  </w:num>
  <w:num w:numId="11">
    <w:abstractNumId w:val="7"/>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486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05C0B"/>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EE0FE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3E51BE"/>
    <w:rsid w:val="014A0623"/>
    <w:rsid w:val="01536583"/>
    <w:rsid w:val="0156475D"/>
    <w:rsid w:val="015D3EF3"/>
    <w:rsid w:val="016112D3"/>
    <w:rsid w:val="0165788D"/>
    <w:rsid w:val="01764F01"/>
    <w:rsid w:val="018107C9"/>
    <w:rsid w:val="0183684B"/>
    <w:rsid w:val="01854FE9"/>
    <w:rsid w:val="018A47AD"/>
    <w:rsid w:val="018E207B"/>
    <w:rsid w:val="0190283E"/>
    <w:rsid w:val="019C544F"/>
    <w:rsid w:val="019D155B"/>
    <w:rsid w:val="01A428BB"/>
    <w:rsid w:val="01AE307F"/>
    <w:rsid w:val="01B35169"/>
    <w:rsid w:val="01C00B7B"/>
    <w:rsid w:val="01CA1BB3"/>
    <w:rsid w:val="01D00B7E"/>
    <w:rsid w:val="01D46B8D"/>
    <w:rsid w:val="01D67ABF"/>
    <w:rsid w:val="01D866D8"/>
    <w:rsid w:val="01E251A8"/>
    <w:rsid w:val="01E54210"/>
    <w:rsid w:val="01EE2663"/>
    <w:rsid w:val="01F90434"/>
    <w:rsid w:val="01FB366B"/>
    <w:rsid w:val="01FD3930"/>
    <w:rsid w:val="02024A92"/>
    <w:rsid w:val="02042B52"/>
    <w:rsid w:val="021B7C87"/>
    <w:rsid w:val="022D4A6E"/>
    <w:rsid w:val="023512AC"/>
    <w:rsid w:val="023B0A39"/>
    <w:rsid w:val="023C78A7"/>
    <w:rsid w:val="023F3FD3"/>
    <w:rsid w:val="02444B7E"/>
    <w:rsid w:val="024A5964"/>
    <w:rsid w:val="024B023C"/>
    <w:rsid w:val="024D6B6A"/>
    <w:rsid w:val="024E43D4"/>
    <w:rsid w:val="02510B5E"/>
    <w:rsid w:val="02566C17"/>
    <w:rsid w:val="025C4BEF"/>
    <w:rsid w:val="026246A1"/>
    <w:rsid w:val="0262759F"/>
    <w:rsid w:val="02632182"/>
    <w:rsid w:val="02655431"/>
    <w:rsid w:val="027275A1"/>
    <w:rsid w:val="027371D9"/>
    <w:rsid w:val="0276366F"/>
    <w:rsid w:val="027F646E"/>
    <w:rsid w:val="027F64CF"/>
    <w:rsid w:val="02867DB1"/>
    <w:rsid w:val="028F6D4C"/>
    <w:rsid w:val="02926AD9"/>
    <w:rsid w:val="02933CBB"/>
    <w:rsid w:val="02951DBD"/>
    <w:rsid w:val="02976D78"/>
    <w:rsid w:val="02983E12"/>
    <w:rsid w:val="029A69A7"/>
    <w:rsid w:val="029B04E7"/>
    <w:rsid w:val="02A10998"/>
    <w:rsid w:val="02AB0FBC"/>
    <w:rsid w:val="02AE6812"/>
    <w:rsid w:val="02D16C80"/>
    <w:rsid w:val="02DC3F9C"/>
    <w:rsid w:val="02E3105C"/>
    <w:rsid w:val="02E63DE2"/>
    <w:rsid w:val="02FB6CDA"/>
    <w:rsid w:val="03036B01"/>
    <w:rsid w:val="03052298"/>
    <w:rsid w:val="03073BDC"/>
    <w:rsid w:val="030A6B04"/>
    <w:rsid w:val="030B0647"/>
    <w:rsid w:val="030B2860"/>
    <w:rsid w:val="030C40C1"/>
    <w:rsid w:val="030D2F0B"/>
    <w:rsid w:val="03147E4E"/>
    <w:rsid w:val="03187492"/>
    <w:rsid w:val="031E429F"/>
    <w:rsid w:val="032F336F"/>
    <w:rsid w:val="03317AD0"/>
    <w:rsid w:val="033C68CE"/>
    <w:rsid w:val="033F734A"/>
    <w:rsid w:val="03403A5C"/>
    <w:rsid w:val="03445E8F"/>
    <w:rsid w:val="03496C64"/>
    <w:rsid w:val="035154D3"/>
    <w:rsid w:val="03527C38"/>
    <w:rsid w:val="0356746F"/>
    <w:rsid w:val="035909AA"/>
    <w:rsid w:val="0360259A"/>
    <w:rsid w:val="036522E7"/>
    <w:rsid w:val="036E37C2"/>
    <w:rsid w:val="03746F87"/>
    <w:rsid w:val="037C6EF7"/>
    <w:rsid w:val="03814F5B"/>
    <w:rsid w:val="038B3141"/>
    <w:rsid w:val="03A77DFA"/>
    <w:rsid w:val="03B339B1"/>
    <w:rsid w:val="03C05350"/>
    <w:rsid w:val="03C1287B"/>
    <w:rsid w:val="03C36B0E"/>
    <w:rsid w:val="03C528EA"/>
    <w:rsid w:val="03CF67FA"/>
    <w:rsid w:val="03E120EA"/>
    <w:rsid w:val="03E358F3"/>
    <w:rsid w:val="03E84DE8"/>
    <w:rsid w:val="03EC63CD"/>
    <w:rsid w:val="04030035"/>
    <w:rsid w:val="04142BDC"/>
    <w:rsid w:val="04242D1B"/>
    <w:rsid w:val="04251A4C"/>
    <w:rsid w:val="042D2E97"/>
    <w:rsid w:val="04305EA0"/>
    <w:rsid w:val="04310833"/>
    <w:rsid w:val="04343921"/>
    <w:rsid w:val="04346443"/>
    <w:rsid w:val="043865BF"/>
    <w:rsid w:val="043A14AD"/>
    <w:rsid w:val="044C78D8"/>
    <w:rsid w:val="04537B11"/>
    <w:rsid w:val="04557675"/>
    <w:rsid w:val="04684A28"/>
    <w:rsid w:val="046C0EAE"/>
    <w:rsid w:val="04782230"/>
    <w:rsid w:val="0479507E"/>
    <w:rsid w:val="047B05A3"/>
    <w:rsid w:val="04894975"/>
    <w:rsid w:val="04922411"/>
    <w:rsid w:val="0492397B"/>
    <w:rsid w:val="04A65723"/>
    <w:rsid w:val="04B14B03"/>
    <w:rsid w:val="04CF6607"/>
    <w:rsid w:val="04D46535"/>
    <w:rsid w:val="04DA1A87"/>
    <w:rsid w:val="04DC0F32"/>
    <w:rsid w:val="04DC52CD"/>
    <w:rsid w:val="04DE2DA3"/>
    <w:rsid w:val="04DF3C0B"/>
    <w:rsid w:val="04EB6DF8"/>
    <w:rsid w:val="04FF1C94"/>
    <w:rsid w:val="04FF7D5A"/>
    <w:rsid w:val="0502349F"/>
    <w:rsid w:val="050C587A"/>
    <w:rsid w:val="050E7487"/>
    <w:rsid w:val="05161D2D"/>
    <w:rsid w:val="051B5DBA"/>
    <w:rsid w:val="0522500E"/>
    <w:rsid w:val="052E568F"/>
    <w:rsid w:val="05344105"/>
    <w:rsid w:val="053973F0"/>
    <w:rsid w:val="053E65E7"/>
    <w:rsid w:val="054B2F7A"/>
    <w:rsid w:val="0555228E"/>
    <w:rsid w:val="05595938"/>
    <w:rsid w:val="055A6B82"/>
    <w:rsid w:val="05636085"/>
    <w:rsid w:val="056D5BF6"/>
    <w:rsid w:val="057D1D66"/>
    <w:rsid w:val="059D265F"/>
    <w:rsid w:val="059E1515"/>
    <w:rsid w:val="05AD1B88"/>
    <w:rsid w:val="05B92EC1"/>
    <w:rsid w:val="05D05BD2"/>
    <w:rsid w:val="05DB542B"/>
    <w:rsid w:val="05E078B3"/>
    <w:rsid w:val="05E942A3"/>
    <w:rsid w:val="05EA759F"/>
    <w:rsid w:val="05EE6827"/>
    <w:rsid w:val="0601277E"/>
    <w:rsid w:val="060C5AED"/>
    <w:rsid w:val="06103146"/>
    <w:rsid w:val="06172561"/>
    <w:rsid w:val="061E54DA"/>
    <w:rsid w:val="061E5E22"/>
    <w:rsid w:val="06223FD1"/>
    <w:rsid w:val="062B2FCF"/>
    <w:rsid w:val="063F63E4"/>
    <w:rsid w:val="06460B91"/>
    <w:rsid w:val="0654187C"/>
    <w:rsid w:val="065475DE"/>
    <w:rsid w:val="06556C03"/>
    <w:rsid w:val="06676354"/>
    <w:rsid w:val="066E5330"/>
    <w:rsid w:val="06782F84"/>
    <w:rsid w:val="067C28D6"/>
    <w:rsid w:val="068A55C2"/>
    <w:rsid w:val="068E06BC"/>
    <w:rsid w:val="069201CB"/>
    <w:rsid w:val="06956E2E"/>
    <w:rsid w:val="06AC7765"/>
    <w:rsid w:val="06B62C91"/>
    <w:rsid w:val="06B741D9"/>
    <w:rsid w:val="06B756E7"/>
    <w:rsid w:val="06C457B6"/>
    <w:rsid w:val="06CA5532"/>
    <w:rsid w:val="06CD4A70"/>
    <w:rsid w:val="06DF4C13"/>
    <w:rsid w:val="06E7678C"/>
    <w:rsid w:val="06EC7519"/>
    <w:rsid w:val="06F42A88"/>
    <w:rsid w:val="06F801C0"/>
    <w:rsid w:val="07072694"/>
    <w:rsid w:val="070E5E48"/>
    <w:rsid w:val="07105178"/>
    <w:rsid w:val="0712124C"/>
    <w:rsid w:val="071C13A8"/>
    <w:rsid w:val="073D143C"/>
    <w:rsid w:val="074454BD"/>
    <w:rsid w:val="074855FD"/>
    <w:rsid w:val="07627CA0"/>
    <w:rsid w:val="076319C4"/>
    <w:rsid w:val="076925D2"/>
    <w:rsid w:val="077241E3"/>
    <w:rsid w:val="0781725F"/>
    <w:rsid w:val="078C5933"/>
    <w:rsid w:val="078D336C"/>
    <w:rsid w:val="07971B3F"/>
    <w:rsid w:val="07983294"/>
    <w:rsid w:val="079B3BB0"/>
    <w:rsid w:val="079F1838"/>
    <w:rsid w:val="07A2030D"/>
    <w:rsid w:val="07A5677E"/>
    <w:rsid w:val="07B51934"/>
    <w:rsid w:val="07B9290D"/>
    <w:rsid w:val="07BE52B9"/>
    <w:rsid w:val="07C55A1A"/>
    <w:rsid w:val="07CB1347"/>
    <w:rsid w:val="07D57946"/>
    <w:rsid w:val="07ED524D"/>
    <w:rsid w:val="07F065BC"/>
    <w:rsid w:val="080124E3"/>
    <w:rsid w:val="08030E27"/>
    <w:rsid w:val="080C7FA0"/>
    <w:rsid w:val="080F0F47"/>
    <w:rsid w:val="08193C24"/>
    <w:rsid w:val="082A7098"/>
    <w:rsid w:val="08334B3D"/>
    <w:rsid w:val="08341060"/>
    <w:rsid w:val="08732D34"/>
    <w:rsid w:val="08787FF0"/>
    <w:rsid w:val="087C4B7B"/>
    <w:rsid w:val="08824DF0"/>
    <w:rsid w:val="0889002B"/>
    <w:rsid w:val="088F7D75"/>
    <w:rsid w:val="089B79D9"/>
    <w:rsid w:val="08A44DA6"/>
    <w:rsid w:val="08AA245A"/>
    <w:rsid w:val="08AD2ACC"/>
    <w:rsid w:val="08B76C9F"/>
    <w:rsid w:val="08BA6E24"/>
    <w:rsid w:val="08C024D5"/>
    <w:rsid w:val="08C562FD"/>
    <w:rsid w:val="08CA27B1"/>
    <w:rsid w:val="08E916DF"/>
    <w:rsid w:val="08F473EA"/>
    <w:rsid w:val="08FC0AA5"/>
    <w:rsid w:val="090E2F35"/>
    <w:rsid w:val="091B4FFA"/>
    <w:rsid w:val="092173F4"/>
    <w:rsid w:val="09262DE9"/>
    <w:rsid w:val="092F7300"/>
    <w:rsid w:val="09306537"/>
    <w:rsid w:val="09355076"/>
    <w:rsid w:val="09392119"/>
    <w:rsid w:val="09445E95"/>
    <w:rsid w:val="094C1D4E"/>
    <w:rsid w:val="09543B3B"/>
    <w:rsid w:val="09600FBD"/>
    <w:rsid w:val="09664528"/>
    <w:rsid w:val="0972595C"/>
    <w:rsid w:val="098143BC"/>
    <w:rsid w:val="098500F1"/>
    <w:rsid w:val="0992510E"/>
    <w:rsid w:val="09B33AE4"/>
    <w:rsid w:val="09BD407A"/>
    <w:rsid w:val="09BF125C"/>
    <w:rsid w:val="09C12CF5"/>
    <w:rsid w:val="09D948FE"/>
    <w:rsid w:val="09DA0E26"/>
    <w:rsid w:val="09DB6437"/>
    <w:rsid w:val="09E55691"/>
    <w:rsid w:val="09F23E40"/>
    <w:rsid w:val="09F67CD5"/>
    <w:rsid w:val="0A054821"/>
    <w:rsid w:val="0A077A43"/>
    <w:rsid w:val="0A0835C8"/>
    <w:rsid w:val="0A0C17EE"/>
    <w:rsid w:val="0A145721"/>
    <w:rsid w:val="0A355EAA"/>
    <w:rsid w:val="0A3708FF"/>
    <w:rsid w:val="0A3B01F9"/>
    <w:rsid w:val="0A3F0488"/>
    <w:rsid w:val="0A402A36"/>
    <w:rsid w:val="0A4236A3"/>
    <w:rsid w:val="0A4E7EF5"/>
    <w:rsid w:val="0A596130"/>
    <w:rsid w:val="0A627392"/>
    <w:rsid w:val="0A646846"/>
    <w:rsid w:val="0A6B3DAF"/>
    <w:rsid w:val="0A7B4D83"/>
    <w:rsid w:val="0A817CBD"/>
    <w:rsid w:val="0A8251CA"/>
    <w:rsid w:val="0A8828AB"/>
    <w:rsid w:val="0A927DC1"/>
    <w:rsid w:val="0A951165"/>
    <w:rsid w:val="0A9B4F7F"/>
    <w:rsid w:val="0A9C263A"/>
    <w:rsid w:val="0A9D54CD"/>
    <w:rsid w:val="0A9E3D3D"/>
    <w:rsid w:val="0AA077E0"/>
    <w:rsid w:val="0AA5327C"/>
    <w:rsid w:val="0AC01F88"/>
    <w:rsid w:val="0AC0212C"/>
    <w:rsid w:val="0AC3085F"/>
    <w:rsid w:val="0AD542C1"/>
    <w:rsid w:val="0ADD5A20"/>
    <w:rsid w:val="0AE10FD9"/>
    <w:rsid w:val="0AF13898"/>
    <w:rsid w:val="0AFB3228"/>
    <w:rsid w:val="0AFC6C07"/>
    <w:rsid w:val="0AFD25E6"/>
    <w:rsid w:val="0AFF6A66"/>
    <w:rsid w:val="0B0130D7"/>
    <w:rsid w:val="0B0250FD"/>
    <w:rsid w:val="0B0F025C"/>
    <w:rsid w:val="0B1A6333"/>
    <w:rsid w:val="0B267BFC"/>
    <w:rsid w:val="0B2713F4"/>
    <w:rsid w:val="0B334367"/>
    <w:rsid w:val="0B3B1BC1"/>
    <w:rsid w:val="0B3B5196"/>
    <w:rsid w:val="0B3D701F"/>
    <w:rsid w:val="0B3E7DD7"/>
    <w:rsid w:val="0B491629"/>
    <w:rsid w:val="0B4B40F9"/>
    <w:rsid w:val="0B554398"/>
    <w:rsid w:val="0B561995"/>
    <w:rsid w:val="0B5C2C2A"/>
    <w:rsid w:val="0B6148D2"/>
    <w:rsid w:val="0B665E0A"/>
    <w:rsid w:val="0B680DC4"/>
    <w:rsid w:val="0B7C0E60"/>
    <w:rsid w:val="0B847B39"/>
    <w:rsid w:val="0B987E20"/>
    <w:rsid w:val="0B9E71DF"/>
    <w:rsid w:val="0BA65BCD"/>
    <w:rsid w:val="0BAD5CC5"/>
    <w:rsid w:val="0BAD5EDC"/>
    <w:rsid w:val="0BAF59B9"/>
    <w:rsid w:val="0BB524B8"/>
    <w:rsid w:val="0BB756DF"/>
    <w:rsid w:val="0BC63DB2"/>
    <w:rsid w:val="0BCC4043"/>
    <w:rsid w:val="0BCC4B6A"/>
    <w:rsid w:val="0BE2291A"/>
    <w:rsid w:val="0C07043D"/>
    <w:rsid w:val="0C1E494F"/>
    <w:rsid w:val="0C3427D0"/>
    <w:rsid w:val="0C43327D"/>
    <w:rsid w:val="0C4426AF"/>
    <w:rsid w:val="0C453647"/>
    <w:rsid w:val="0C4577EC"/>
    <w:rsid w:val="0C4F3B0E"/>
    <w:rsid w:val="0C4F7881"/>
    <w:rsid w:val="0C5A77EA"/>
    <w:rsid w:val="0C5C6396"/>
    <w:rsid w:val="0C63431B"/>
    <w:rsid w:val="0C650A20"/>
    <w:rsid w:val="0C690EFA"/>
    <w:rsid w:val="0C6E11B8"/>
    <w:rsid w:val="0C723CD1"/>
    <w:rsid w:val="0C7C294A"/>
    <w:rsid w:val="0C825F28"/>
    <w:rsid w:val="0C89028B"/>
    <w:rsid w:val="0C8B63A3"/>
    <w:rsid w:val="0CB94808"/>
    <w:rsid w:val="0CC146A9"/>
    <w:rsid w:val="0CC37BC2"/>
    <w:rsid w:val="0CD87ABE"/>
    <w:rsid w:val="0CE26C42"/>
    <w:rsid w:val="0CE632FF"/>
    <w:rsid w:val="0CE76B48"/>
    <w:rsid w:val="0CEB5DBE"/>
    <w:rsid w:val="0CFB523A"/>
    <w:rsid w:val="0D074D4A"/>
    <w:rsid w:val="0D0A3371"/>
    <w:rsid w:val="0D0C5764"/>
    <w:rsid w:val="0D1B1E9C"/>
    <w:rsid w:val="0D1C2E6E"/>
    <w:rsid w:val="0D4B44A1"/>
    <w:rsid w:val="0D6811B4"/>
    <w:rsid w:val="0D6E2620"/>
    <w:rsid w:val="0D704E21"/>
    <w:rsid w:val="0D7F48FE"/>
    <w:rsid w:val="0D883C88"/>
    <w:rsid w:val="0D8A6002"/>
    <w:rsid w:val="0D9074CF"/>
    <w:rsid w:val="0D936E72"/>
    <w:rsid w:val="0D966BF7"/>
    <w:rsid w:val="0DB54F84"/>
    <w:rsid w:val="0DB84465"/>
    <w:rsid w:val="0DCC3AE8"/>
    <w:rsid w:val="0DD87842"/>
    <w:rsid w:val="0DDB2C34"/>
    <w:rsid w:val="0DDE2885"/>
    <w:rsid w:val="0DEF012A"/>
    <w:rsid w:val="0DF202E1"/>
    <w:rsid w:val="0DF53CE3"/>
    <w:rsid w:val="0E0961C5"/>
    <w:rsid w:val="0E0C6AA6"/>
    <w:rsid w:val="0E147898"/>
    <w:rsid w:val="0E264DDB"/>
    <w:rsid w:val="0E2F216B"/>
    <w:rsid w:val="0E327317"/>
    <w:rsid w:val="0E3352C6"/>
    <w:rsid w:val="0E3A5EE2"/>
    <w:rsid w:val="0E542F3B"/>
    <w:rsid w:val="0E5757F7"/>
    <w:rsid w:val="0E591BF0"/>
    <w:rsid w:val="0E6271DF"/>
    <w:rsid w:val="0E6438B9"/>
    <w:rsid w:val="0E78367D"/>
    <w:rsid w:val="0E81568A"/>
    <w:rsid w:val="0E903E3B"/>
    <w:rsid w:val="0E942250"/>
    <w:rsid w:val="0E963344"/>
    <w:rsid w:val="0E9E6E00"/>
    <w:rsid w:val="0EA40C1C"/>
    <w:rsid w:val="0EAA759E"/>
    <w:rsid w:val="0EAF381F"/>
    <w:rsid w:val="0EB72E4B"/>
    <w:rsid w:val="0ECE6156"/>
    <w:rsid w:val="0EEC6F1D"/>
    <w:rsid w:val="0F0621F6"/>
    <w:rsid w:val="0F103291"/>
    <w:rsid w:val="0F15660A"/>
    <w:rsid w:val="0F1D0EA6"/>
    <w:rsid w:val="0F1D498B"/>
    <w:rsid w:val="0F22242C"/>
    <w:rsid w:val="0F337178"/>
    <w:rsid w:val="0F3B15FC"/>
    <w:rsid w:val="0F41022A"/>
    <w:rsid w:val="0F56743B"/>
    <w:rsid w:val="0F60682C"/>
    <w:rsid w:val="0F661944"/>
    <w:rsid w:val="0F6763D9"/>
    <w:rsid w:val="0F715B2B"/>
    <w:rsid w:val="0F744211"/>
    <w:rsid w:val="0F764270"/>
    <w:rsid w:val="0F7F273F"/>
    <w:rsid w:val="0F7F7919"/>
    <w:rsid w:val="0F8418ED"/>
    <w:rsid w:val="0F8B3A90"/>
    <w:rsid w:val="0F957B47"/>
    <w:rsid w:val="0F98796C"/>
    <w:rsid w:val="0F9F6FA4"/>
    <w:rsid w:val="0FA20284"/>
    <w:rsid w:val="0FA65D5C"/>
    <w:rsid w:val="0FAA75F1"/>
    <w:rsid w:val="0FAD33DA"/>
    <w:rsid w:val="0FAD71D4"/>
    <w:rsid w:val="0FBE2A42"/>
    <w:rsid w:val="0FC17CCE"/>
    <w:rsid w:val="0FC424B9"/>
    <w:rsid w:val="0FCB3854"/>
    <w:rsid w:val="0FCC3C6A"/>
    <w:rsid w:val="0FD576BA"/>
    <w:rsid w:val="0FD70565"/>
    <w:rsid w:val="0FE928D1"/>
    <w:rsid w:val="0FEC680C"/>
    <w:rsid w:val="0FFD688F"/>
    <w:rsid w:val="0FFF0BF3"/>
    <w:rsid w:val="10007AD6"/>
    <w:rsid w:val="101B1E8A"/>
    <w:rsid w:val="101C4A03"/>
    <w:rsid w:val="101D0C86"/>
    <w:rsid w:val="10320BC0"/>
    <w:rsid w:val="104A023B"/>
    <w:rsid w:val="104B6A1B"/>
    <w:rsid w:val="10501493"/>
    <w:rsid w:val="10505F3B"/>
    <w:rsid w:val="10677613"/>
    <w:rsid w:val="106D2686"/>
    <w:rsid w:val="107407B6"/>
    <w:rsid w:val="107C3E2C"/>
    <w:rsid w:val="107D41AE"/>
    <w:rsid w:val="108C2479"/>
    <w:rsid w:val="10B3132B"/>
    <w:rsid w:val="10C715C5"/>
    <w:rsid w:val="10D335EF"/>
    <w:rsid w:val="10E255A6"/>
    <w:rsid w:val="10E746EA"/>
    <w:rsid w:val="10E83FE0"/>
    <w:rsid w:val="10EC3168"/>
    <w:rsid w:val="10F02A44"/>
    <w:rsid w:val="10F52718"/>
    <w:rsid w:val="10F70AE6"/>
    <w:rsid w:val="11123EF8"/>
    <w:rsid w:val="11124F2E"/>
    <w:rsid w:val="11125358"/>
    <w:rsid w:val="111F38A5"/>
    <w:rsid w:val="111F6CBE"/>
    <w:rsid w:val="112D2A42"/>
    <w:rsid w:val="113A22DB"/>
    <w:rsid w:val="114028DC"/>
    <w:rsid w:val="11441C15"/>
    <w:rsid w:val="11583891"/>
    <w:rsid w:val="1159252B"/>
    <w:rsid w:val="1160765D"/>
    <w:rsid w:val="116F1EB0"/>
    <w:rsid w:val="11727495"/>
    <w:rsid w:val="117A242E"/>
    <w:rsid w:val="117B1D6A"/>
    <w:rsid w:val="117C2D9D"/>
    <w:rsid w:val="117F159E"/>
    <w:rsid w:val="11821DC9"/>
    <w:rsid w:val="11824A0F"/>
    <w:rsid w:val="11897A08"/>
    <w:rsid w:val="11921373"/>
    <w:rsid w:val="119A72EE"/>
    <w:rsid w:val="119D7849"/>
    <w:rsid w:val="11A615EE"/>
    <w:rsid w:val="11A658F4"/>
    <w:rsid w:val="11B16FA5"/>
    <w:rsid w:val="11B91A57"/>
    <w:rsid w:val="11BA3FAE"/>
    <w:rsid w:val="11C67B8F"/>
    <w:rsid w:val="11CE730E"/>
    <w:rsid w:val="11D815C4"/>
    <w:rsid w:val="11D85BD5"/>
    <w:rsid w:val="11E57D4F"/>
    <w:rsid w:val="11EE7275"/>
    <w:rsid w:val="11F40833"/>
    <w:rsid w:val="11F92DAB"/>
    <w:rsid w:val="11FB6DE4"/>
    <w:rsid w:val="11FC38D5"/>
    <w:rsid w:val="11FD37F5"/>
    <w:rsid w:val="120F1E38"/>
    <w:rsid w:val="1210682D"/>
    <w:rsid w:val="122215D3"/>
    <w:rsid w:val="122510AD"/>
    <w:rsid w:val="122F0F93"/>
    <w:rsid w:val="123A05DB"/>
    <w:rsid w:val="124240B9"/>
    <w:rsid w:val="12491684"/>
    <w:rsid w:val="124D0988"/>
    <w:rsid w:val="124E44B4"/>
    <w:rsid w:val="126532DD"/>
    <w:rsid w:val="12680E73"/>
    <w:rsid w:val="12763466"/>
    <w:rsid w:val="127C144F"/>
    <w:rsid w:val="127E5AA6"/>
    <w:rsid w:val="12811F99"/>
    <w:rsid w:val="128B2749"/>
    <w:rsid w:val="128E1E81"/>
    <w:rsid w:val="129019B5"/>
    <w:rsid w:val="129811DB"/>
    <w:rsid w:val="129937EE"/>
    <w:rsid w:val="129E6282"/>
    <w:rsid w:val="129F3A3A"/>
    <w:rsid w:val="12AA7237"/>
    <w:rsid w:val="12AB7A32"/>
    <w:rsid w:val="12BB6535"/>
    <w:rsid w:val="12C7312B"/>
    <w:rsid w:val="12D22971"/>
    <w:rsid w:val="12D469A6"/>
    <w:rsid w:val="12D85654"/>
    <w:rsid w:val="12DF4A87"/>
    <w:rsid w:val="12E265EC"/>
    <w:rsid w:val="12E706B5"/>
    <w:rsid w:val="12EE5106"/>
    <w:rsid w:val="12F777F2"/>
    <w:rsid w:val="1307341C"/>
    <w:rsid w:val="130C40FE"/>
    <w:rsid w:val="130E3629"/>
    <w:rsid w:val="13125197"/>
    <w:rsid w:val="131B39DD"/>
    <w:rsid w:val="13283BA4"/>
    <w:rsid w:val="13332F77"/>
    <w:rsid w:val="13334E1C"/>
    <w:rsid w:val="13346EE4"/>
    <w:rsid w:val="13384952"/>
    <w:rsid w:val="1355107F"/>
    <w:rsid w:val="135D4D2E"/>
    <w:rsid w:val="1366638D"/>
    <w:rsid w:val="1369011A"/>
    <w:rsid w:val="136D76E8"/>
    <w:rsid w:val="137266E0"/>
    <w:rsid w:val="13811975"/>
    <w:rsid w:val="138559AC"/>
    <w:rsid w:val="138F3C22"/>
    <w:rsid w:val="139D3156"/>
    <w:rsid w:val="13A50F41"/>
    <w:rsid w:val="13A825CD"/>
    <w:rsid w:val="13AA5FA1"/>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355342"/>
    <w:rsid w:val="144C1C02"/>
    <w:rsid w:val="144D63F0"/>
    <w:rsid w:val="145103FA"/>
    <w:rsid w:val="145F07C7"/>
    <w:rsid w:val="14601908"/>
    <w:rsid w:val="14632D00"/>
    <w:rsid w:val="146B69A8"/>
    <w:rsid w:val="146C5189"/>
    <w:rsid w:val="146F1089"/>
    <w:rsid w:val="14816B50"/>
    <w:rsid w:val="148313F4"/>
    <w:rsid w:val="1485665F"/>
    <w:rsid w:val="14934F1A"/>
    <w:rsid w:val="149559C4"/>
    <w:rsid w:val="149D71D6"/>
    <w:rsid w:val="149E3770"/>
    <w:rsid w:val="14A13FBC"/>
    <w:rsid w:val="14A67171"/>
    <w:rsid w:val="14AA71CB"/>
    <w:rsid w:val="14AC0C32"/>
    <w:rsid w:val="14B2463E"/>
    <w:rsid w:val="14B57287"/>
    <w:rsid w:val="14B602D5"/>
    <w:rsid w:val="14C45576"/>
    <w:rsid w:val="14C76D6C"/>
    <w:rsid w:val="14CD2018"/>
    <w:rsid w:val="14CE33C4"/>
    <w:rsid w:val="14D60E60"/>
    <w:rsid w:val="14DA3DA1"/>
    <w:rsid w:val="14E60B42"/>
    <w:rsid w:val="14E75E9B"/>
    <w:rsid w:val="14EA1C4D"/>
    <w:rsid w:val="14ED27DF"/>
    <w:rsid w:val="14EF0267"/>
    <w:rsid w:val="14FB736A"/>
    <w:rsid w:val="150222BF"/>
    <w:rsid w:val="150F7C33"/>
    <w:rsid w:val="151178FC"/>
    <w:rsid w:val="1515004B"/>
    <w:rsid w:val="151B7C99"/>
    <w:rsid w:val="15207BBA"/>
    <w:rsid w:val="15222DA1"/>
    <w:rsid w:val="15256B65"/>
    <w:rsid w:val="152F4E1B"/>
    <w:rsid w:val="1546665E"/>
    <w:rsid w:val="154806E1"/>
    <w:rsid w:val="154D342A"/>
    <w:rsid w:val="15581ED5"/>
    <w:rsid w:val="1559587F"/>
    <w:rsid w:val="155E7DEC"/>
    <w:rsid w:val="15740334"/>
    <w:rsid w:val="1574662E"/>
    <w:rsid w:val="15751882"/>
    <w:rsid w:val="1575191B"/>
    <w:rsid w:val="157818C6"/>
    <w:rsid w:val="1596622F"/>
    <w:rsid w:val="159F73BB"/>
    <w:rsid w:val="15B03F28"/>
    <w:rsid w:val="15C15E25"/>
    <w:rsid w:val="15C42571"/>
    <w:rsid w:val="15E30A80"/>
    <w:rsid w:val="15F21B9E"/>
    <w:rsid w:val="15FD2FA2"/>
    <w:rsid w:val="16021A7C"/>
    <w:rsid w:val="1608480E"/>
    <w:rsid w:val="161C1C58"/>
    <w:rsid w:val="162B27CD"/>
    <w:rsid w:val="162D7415"/>
    <w:rsid w:val="162F7556"/>
    <w:rsid w:val="16347AD6"/>
    <w:rsid w:val="163814FD"/>
    <w:rsid w:val="163A6AD4"/>
    <w:rsid w:val="16413A3A"/>
    <w:rsid w:val="1644500C"/>
    <w:rsid w:val="16461A95"/>
    <w:rsid w:val="16594F06"/>
    <w:rsid w:val="165A38E6"/>
    <w:rsid w:val="166C5DB6"/>
    <w:rsid w:val="166F5E80"/>
    <w:rsid w:val="16766A92"/>
    <w:rsid w:val="167A52A9"/>
    <w:rsid w:val="167B20D8"/>
    <w:rsid w:val="167B7B40"/>
    <w:rsid w:val="167C6594"/>
    <w:rsid w:val="16833ACA"/>
    <w:rsid w:val="16866882"/>
    <w:rsid w:val="16872167"/>
    <w:rsid w:val="16895E32"/>
    <w:rsid w:val="168F3273"/>
    <w:rsid w:val="168F69F2"/>
    <w:rsid w:val="169865AE"/>
    <w:rsid w:val="169C7FDE"/>
    <w:rsid w:val="16A4319F"/>
    <w:rsid w:val="16AC4DDB"/>
    <w:rsid w:val="16AE2FE3"/>
    <w:rsid w:val="16B23908"/>
    <w:rsid w:val="16B4400E"/>
    <w:rsid w:val="16C16240"/>
    <w:rsid w:val="16C71372"/>
    <w:rsid w:val="16C739DF"/>
    <w:rsid w:val="16C86CDB"/>
    <w:rsid w:val="16DD3B26"/>
    <w:rsid w:val="16E73506"/>
    <w:rsid w:val="16EB6E00"/>
    <w:rsid w:val="16EE7649"/>
    <w:rsid w:val="16F04615"/>
    <w:rsid w:val="16FD2447"/>
    <w:rsid w:val="17031772"/>
    <w:rsid w:val="1712339A"/>
    <w:rsid w:val="17126131"/>
    <w:rsid w:val="171E63FC"/>
    <w:rsid w:val="1722504D"/>
    <w:rsid w:val="17306175"/>
    <w:rsid w:val="1738730F"/>
    <w:rsid w:val="17416499"/>
    <w:rsid w:val="17481B81"/>
    <w:rsid w:val="17481E8B"/>
    <w:rsid w:val="174A69B0"/>
    <w:rsid w:val="175007ED"/>
    <w:rsid w:val="175D7538"/>
    <w:rsid w:val="17605E9B"/>
    <w:rsid w:val="17611CB8"/>
    <w:rsid w:val="176B45C6"/>
    <w:rsid w:val="176C447F"/>
    <w:rsid w:val="17850F99"/>
    <w:rsid w:val="17875303"/>
    <w:rsid w:val="178815C4"/>
    <w:rsid w:val="17891C0B"/>
    <w:rsid w:val="178F2F4E"/>
    <w:rsid w:val="1793626E"/>
    <w:rsid w:val="17991452"/>
    <w:rsid w:val="17A64F51"/>
    <w:rsid w:val="17A875F5"/>
    <w:rsid w:val="17B5256D"/>
    <w:rsid w:val="17B52BE2"/>
    <w:rsid w:val="17B92501"/>
    <w:rsid w:val="17C809DF"/>
    <w:rsid w:val="17DE2FB7"/>
    <w:rsid w:val="17E47B20"/>
    <w:rsid w:val="17E65848"/>
    <w:rsid w:val="17E66DD8"/>
    <w:rsid w:val="17E84839"/>
    <w:rsid w:val="17EE1403"/>
    <w:rsid w:val="17F25234"/>
    <w:rsid w:val="17F33DC6"/>
    <w:rsid w:val="17F45149"/>
    <w:rsid w:val="17FD061B"/>
    <w:rsid w:val="17FD20FD"/>
    <w:rsid w:val="17FE30DF"/>
    <w:rsid w:val="17FF6314"/>
    <w:rsid w:val="18005F41"/>
    <w:rsid w:val="18025414"/>
    <w:rsid w:val="18171305"/>
    <w:rsid w:val="1820454C"/>
    <w:rsid w:val="1829280B"/>
    <w:rsid w:val="18326934"/>
    <w:rsid w:val="18334194"/>
    <w:rsid w:val="183E1D37"/>
    <w:rsid w:val="1840126B"/>
    <w:rsid w:val="1846724A"/>
    <w:rsid w:val="184A22E6"/>
    <w:rsid w:val="184D0787"/>
    <w:rsid w:val="185D1883"/>
    <w:rsid w:val="185E3AA1"/>
    <w:rsid w:val="185F15CF"/>
    <w:rsid w:val="18717152"/>
    <w:rsid w:val="18812331"/>
    <w:rsid w:val="18816F1C"/>
    <w:rsid w:val="18847050"/>
    <w:rsid w:val="18853F3E"/>
    <w:rsid w:val="188F3639"/>
    <w:rsid w:val="189252B6"/>
    <w:rsid w:val="18956393"/>
    <w:rsid w:val="189C5943"/>
    <w:rsid w:val="18A8582C"/>
    <w:rsid w:val="18B50543"/>
    <w:rsid w:val="18CA40C3"/>
    <w:rsid w:val="18CD7A02"/>
    <w:rsid w:val="18D904AC"/>
    <w:rsid w:val="18DC1AEF"/>
    <w:rsid w:val="18DF5689"/>
    <w:rsid w:val="18F74015"/>
    <w:rsid w:val="19001FFC"/>
    <w:rsid w:val="19083894"/>
    <w:rsid w:val="190E2B4A"/>
    <w:rsid w:val="19256D7A"/>
    <w:rsid w:val="193275C2"/>
    <w:rsid w:val="19342CF4"/>
    <w:rsid w:val="193A500F"/>
    <w:rsid w:val="193B3E86"/>
    <w:rsid w:val="19463A75"/>
    <w:rsid w:val="194D2005"/>
    <w:rsid w:val="19520B39"/>
    <w:rsid w:val="19655A52"/>
    <w:rsid w:val="19663168"/>
    <w:rsid w:val="197724BD"/>
    <w:rsid w:val="19786B0A"/>
    <w:rsid w:val="198A41A1"/>
    <w:rsid w:val="199A2059"/>
    <w:rsid w:val="19AE76C7"/>
    <w:rsid w:val="19B46E10"/>
    <w:rsid w:val="19C456C1"/>
    <w:rsid w:val="19E24986"/>
    <w:rsid w:val="19E256B5"/>
    <w:rsid w:val="19E54655"/>
    <w:rsid w:val="19F061A1"/>
    <w:rsid w:val="19F81E45"/>
    <w:rsid w:val="1A054259"/>
    <w:rsid w:val="1A081816"/>
    <w:rsid w:val="1A0C5680"/>
    <w:rsid w:val="1A165171"/>
    <w:rsid w:val="1A3068A4"/>
    <w:rsid w:val="1A410451"/>
    <w:rsid w:val="1A4858FF"/>
    <w:rsid w:val="1A4C698A"/>
    <w:rsid w:val="1A4D778D"/>
    <w:rsid w:val="1A5D5219"/>
    <w:rsid w:val="1A5E4B5A"/>
    <w:rsid w:val="1A672B1C"/>
    <w:rsid w:val="1A7070DD"/>
    <w:rsid w:val="1A805F1C"/>
    <w:rsid w:val="1A8301C0"/>
    <w:rsid w:val="1A872248"/>
    <w:rsid w:val="1A8824C5"/>
    <w:rsid w:val="1A9B2279"/>
    <w:rsid w:val="1A9D1677"/>
    <w:rsid w:val="1A9E6232"/>
    <w:rsid w:val="1AA57BA7"/>
    <w:rsid w:val="1AA74D3D"/>
    <w:rsid w:val="1AB34DB4"/>
    <w:rsid w:val="1AB613FD"/>
    <w:rsid w:val="1AB64B19"/>
    <w:rsid w:val="1AB73747"/>
    <w:rsid w:val="1AC03C10"/>
    <w:rsid w:val="1ACF5EB8"/>
    <w:rsid w:val="1AD26086"/>
    <w:rsid w:val="1ADD5ACE"/>
    <w:rsid w:val="1AE013F8"/>
    <w:rsid w:val="1AE8570C"/>
    <w:rsid w:val="1AF7297B"/>
    <w:rsid w:val="1AF97DCC"/>
    <w:rsid w:val="1AFB06A3"/>
    <w:rsid w:val="1B062896"/>
    <w:rsid w:val="1B0F19AE"/>
    <w:rsid w:val="1B141BBC"/>
    <w:rsid w:val="1B2160BB"/>
    <w:rsid w:val="1B3637AD"/>
    <w:rsid w:val="1B3E0DB5"/>
    <w:rsid w:val="1B454C94"/>
    <w:rsid w:val="1B454E69"/>
    <w:rsid w:val="1B5C1145"/>
    <w:rsid w:val="1B5D79CB"/>
    <w:rsid w:val="1B6B769D"/>
    <w:rsid w:val="1B6C0DF0"/>
    <w:rsid w:val="1B7F6005"/>
    <w:rsid w:val="1B874E63"/>
    <w:rsid w:val="1B9C269A"/>
    <w:rsid w:val="1B9D47B8"/>
    <w:rsid w:val="1B9E64C5"/>
    <w:rsid w:val="1B9E6D4C"/>
    <w:rsid w:val="1BB07CEA"/>
    <w:rsid w:val="1BBD43BA"/>
    <w:rsid w:val="1BC01115"/>
    <w:rsid w:val="1BC44015"/>
    <w:rsid w:val="1BC96DA5"/>
    <w:rsid w:val="1BCA6284"/>
    <w:rsid w:val="1BCC6C47"/>
    <w:rsid w:val="1BE32C74"/>
    <w:rsid w:val="1BF72906"/>
    <w:rsid w:val="1BFB481C"/>
    <w:rsid w:val="1BFE5FF9"/>
    <w:rsid w:val="1BFE7B2D"/>
    <w:rsid w:val="1C013494"/>
    <w:rsid w:val="1C053414"/>
    <w:rsid w:val="1C132CB9"/>
    <w:rsid w:val="1C1642A1"/>
    <w:rsid w:val="1C2146C5"/>
    <w:rsid w:val="1C240174"/>
    <w:rsid w:val="1C273D33"/>
    <w:rsid w:val="1C4032AB"/>
    <w:rsid w:val="1C4672ED"/>
    <w:rsid w:val="1C467AB6"/>
    <w:rsid w:val="1C591347"/>
    <w:rsid w:val="1C6277A9"/>
    <w:rsid w:val="1C750818"/>
    <w:rsid w:val="1C7F54CE"/>
    <w:rsid w:val="1C7F743F"/>
    <w:rsid w:val="1C8C4AA9"/>
    <w:rsid w:val="1C8C604B"/>
    <w:rsid w:val="1C8F53D9"/>
    <w:rsid w:val="1C92160B"/>
    <w:rsid w:val="1C973EEF"/>
    <w:rsid w:val="1CA03243"/>
    <w:rsid w:val="1CAC112E"/>
    <w:rsid w:val="1CAF5DB2"/>
    <w:rsid w:val="1CB40DF1"/>
    <w:rsid w:val="1CB86812"/>
    <w:rsid w:val="1CC11084"/>
    <w:rsid w:val="1CC71DD3"/>
    <w:rsid w:val="1CCC26CA"/>
    <w:rsid w:val="1CD2156B"/>
    <w:rsid w:val="1CD41743"/>
    <w:rsid w:val="1CD44D3D"/>
    <w:rsid w:val="1CD77F43"/>
    <w:rsid w:val="1CE45EF5"/>
    <w:rsid w:val="1CE615C9"/>
    <w:rsid w:val="1CED1E7E"/>
    <w:rsid w:val="1D037029"/>
    <w:rsid w:val="1D0A6B98"/>
    <w:rsid w:val="1D227612"/>
    <w:rsid w:val="1D3305FF"/>
    <w:rsid w:val="1D395282"/>
    <w:rsid w:val="1D4251BA"/>
    <w:rsid w:val="1D5B2FF2"/>
    <w:rsid w:val="1D5F5386"/>
    <w:rsid w:val="1D614BDA"/>
    <w:rsid w:val="1D70348C"/>
    <w:rsid w:val="1D7072CE"/>
    <w:rsid w:val="1D794A16"/>
    <w:rsid w:val="1D80759A"/>
    <w:rsid w:val="1D8A021B"/>
    <w:rsid w:val="1D9E30A9"/>
    <w:rsid w:val="1DAB1006"/>
    <w:rsid w:val="1DAB2A0A"/>
    <w:rsid w:val="1DB33C11"/>
    <w:rsid w:val="1DC65562"/>
    <w:rsid w:val="1DD34749"/>
    <w:rsid w:val="1DDD201B"/>
    <w:rsid w:val="1DE94164"/>
    <w:rsid w:val="1DEE1B11"/>
    <w:rsid w:val="1E105A20"/>
    <w:rsid w:val="1E164B52"/>
    <w:rsid w:val="1E26583C"/>
    <w:rsid w:val="1E273844"/>
    <w:rsid w:val="1E2F243E"/>
    <w:rsid w:val="1E3B4F6B"/>
    <w:rsid w:val="1E455D19"/>
    <w:rsid w:val="1E595CAF"/>
    <w:rsid w:val="1E5C31E8"/>
    <w:rsid w:val="1E6607F9"/>
    <w:rsid w:val="1E691070"/>
    <w:rsid w:val="1E7E6BFD"/>
    <w:rsid w:val="1E805396"/>
    <w:rsid w:val="1E821B53"/>
    <w:rsid w:val="1E884F62"/>
    <w:rsid w:val="1E8D685D"/>
    <w:rsid w:val="1E984238"/>
    <w:rsid w:val="1E9D6342"/>
    <w:rsid w:val="1E9D6D15"/>
    <w:rsid w:val="1EA7402F"/>
    <w:rsid w:val="1EA77730"/>
    <w:rsid w:val="1EA80D43"/>
    <w:rsid w:val="1EBC3647"/>
    <w:rsid w:val="1EBD1EAD"/>
    <w:rsid w:val="1EC36E9D"/>
    <w:rsid w:val="1EE25FDD"/>
    <w:rsid w:val="1EEF7878"/>
    <w:rsid w:val="1EF5103F"/>
    <w:rsid w:val="1EF86BDC"/>
    <w:rsid w:val="1EFF621F"/>
    <w:rsid w:val="1F001DEB"/>
    <w:rsid w:val="1F090F9B"/>
    <w:rsid w:val="1F0A0088"/>
    <w:rsid w:val="1F0E5D6B"/>
    <w:rsid w:val="1F0F2943"/>
    <w:rsid w:val="1F1420D0"/>
    <w:rsid w:val="1F194C88"/>
    <w:rsid w:val="1F323C57"/>
    <w:rsid w:val="1F343977"/>
    <w:rsid w:val="1F3E662A"/>
    <w:rsid w:val="1F4D4715"/>
    <w:rsid w:val="1F4F2219"/>
    <w:rsid w:val="1F614D01"/>
    <w:rsid w:val="1F721405"/>
    <w:rsid w:val="1F935819"/>
    <w:rsid w:val="1FA036A3"/>
    <w:rsid w:val="1FA628A2"/>
    <w:rsid w:val="1FA6556D"/>
    <w:rsid w:val="1FAF2571"/>
    <w:rsid w:val="1FB33036"/>
    <w:rsid w:val="1FC55EDA"/>
    <w:rsid w:val="1FC658C9"/>
    <w:rsid w:val="1FCE593C"/>
    <w:rsid w:val="1FE312AC"/>
    <w:rsid w:val="1FEC5915"/>
    <w:rsid w:val="1FED32EF"/>
    <w:rsid w:val="1FF82884"/>
    <w:rsid w:val="201E6D7C"/>
    <w:rsid w:val="20446081"/>
    <w:rsid w:val="204852AD"/>
    <w:rsid w:val="204A5E48"/>
    <w:rsid w:val="204A6449"/>
    <w:rsid w:val="204E6676"/>
    <w:rsid w:val="20580C17"/>
    <w:rsid w:val="20595924"/>
    <w:rsid w:val="205A5AA0"/>
    <w:rsid w:val="206408C4"/>
    <w:rsid w:val="20773A28"/>
    <w:rsid w:val="208574F4"/>
    <w:rsid w:val="20872047"/>
    <w:rsid w:val="208C4449"/>
    <w:rsid w:val="208F6BAF"/>
    <w:rsid w:val="209414DB"/>
    <w:rsid w:val="20A462BA"/>
    <w:rsid w:val="20B36B92"/>
    <w:rsid w:val="20BF2AAC"/>
    <w:rsid w:val="20C849C7"/>
    <w:rsid w:val="20DF66D2"/>
    <w:rsid w:val="20EC3F2E"/>
    <w:rsid w:val="20EC7C3E"/>
    <w:rsid w:val="20F07537"/>
    <w:rsid w:val="20FA77BC"/>
    <w:rsid w:val="210548E9"/>
    <w:rsid w:val="210D14B3"/>
    <w:rsid w:val="21124D15"/>
    <w:rsid w:val="21164A79"/>
    <w:rsid w:val="211C7DEA"/>
    <w:rsid w:val="213B13E1"/>
    <w:rsid w:val="213E7119"/>
    <w:rsid w:val="21401C29"/>
    <w:rsid w:val="21530058"/>
    <w:rsid w:val="21567D84"/>
    <w:rsid w:val="216608E3"/>
    <w:rsid w:val="21675117"/>
    <w:rsid w:val="21810744"/>
    <w:rsid w:val="218D6EF5"/>
    <w:rsid w:val="2195668B"/>
    <w:rsid w:val="219F69EC"/>
    <w:rsid w:val="21A130EA"/>
    <w:rsid w:val="21B405F8"/>
    <w:rsid w:val="21B5366A"/>
    <w:rsid w:val="21C267BF"/>
    <w:rsid w:val="21C67C42"/>
    <w:rsid w:val="21CB6217"/>
    <w:rsid w:val="21CD6BCD"/>
    <w:rsid w:val="21CE6067"/>
    <w:rsid w:val="21CF439A"/>
    <w:rsid w:val="21D824E4"/>
    <w:rsid w:val="21E35D49"/>
    <w:rsid w:val="21F00127"/>
    <w:rsid w:val="21F7745C"/>
    <w:rsid w:val="22035C75"/>
    <w:rsid w:val="221D2FA3"/>
    <w:rsid w:val="2226635F"/>
    <w:rsid w:val="222D4F0B"/>
    <w:rsid w:val="223A29CF"/>
    <w:rsid w:val="223D7545"/>
    <w:rsid w:val="22411D14"/>
    <w:rsid w:val="22423BE1"/>
    <w:rsid w:val="22454449"/>
    <w:rsid w:val="22500810"/>
    <w:rsid w:val="22596EC8"/>
    <w:rsid w:val="226347BD"/>
    <w:rsid w:val="22682935"/>
    <w:rsid w:val="226E0A7E"/>
    <w:rsid w:val="227E0D30"/>
    <w:rsid w:val="227E7CD6"/>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146AC2"/>
    <w:rsid w:val="232C2DD6"/>
    <w:rsid w:val="233C6F76"/>
    <w:rsid w:val="234449F5"/>
    <w:rsid w:val="23536618"/>
    <w:rsid w:val="236A33AF"/>
    <w:rsid w:val="236C1BCA"/>
    <w:rsid w:val="237464D5"/>
    <w:rsid w:val="23816932"/>
    <w:rsid w:val="238E01E4"/>
    <w:rsid w:val="23925D42"/>
    <w:rsid w:val="239C062C"/>
    <w:rsid w:val="23A9484E"/>
    <w:rsid w:val="23B32F98"/>
    <w:rsid w:val="23B84268"/>
    <w:rsid w:val="23D17D7B"/>
    <w:rsid w:val="23D36D91"/>
    <w:rsid w:val="23E02099"/>
    <w:rsid w:val="23F70BA5"/>
    <w:rsid w:val="23F93D0D"/>
    <w:rsid w:val="2405417E"/>
    <w:rsid w:val="24197365"/>
    <w:rsid w:val="241B5C62"/>
    <w:rsid w:val="24312CB0"/>
    <w:rsid w:val="243A6CBE"/>
    <w:rsid w:val="24513B48"/>
    <w:rsid w:val="2458381E"/>
    <w:rsid w:val="245872F9"/>
    <w:rsid w:val="245943D9"/>
    <w:rsid w:val="245E6B64"/>
    <w:rsid w:val="2463385E"/>
    <w:rsid w:val="246B2606"/>
    <w:rsid w:val="24767C7B"/>
    <w:rsid w:val="247C178B"/>
    <w:rsid w:val="24861BCE"/>
    <w:rsid w:val="2486388F"/>
    <w:rsid w:val="24967323"/>
    <w:rsid w:val="249D5FC8"/>
    <w:rsid w:val="24A1538E"/>
    <w:rsid w:val="24B9450F"/>
    <w:rsid w:val="24C25350"/>
    <w:rsid w:val="24C83F94"/>
    <w:rsid w:val="24D82EE2"/>
    <w:rsid w:val="24F60CDA"/>
    <w:rsid w:val="24FE42EB"/>
    <w:rsid w:val="25090336"/>
    <w:rsid w:val="250D450C"/>
    <w:rsid w:val="25134332"/>
    <w:rsid w:val="25141A5B"/>
    <w:rsid w:val="2521546A"/>
    <w:rsid w:val="252242ED"/>
    <w:rsid w:val="252A2BA6"/>
    <w:rsid w:val="252B49E0"/>
    <w:rsid w:val="252D3CC1"/>
    <w:rsid w:val="254A35DD"/>
    <w:rsid w:val="255D45FE"/>
    <w:rsid w:val="25657E8F"/>
    <w:rsid w:val="256658A2"/>
    <w:rsid w:val="25691F8B"/>
    <w:rsid w:val="256C13EF"/>
    <w:rsid w:val="256E76DE"/>
    <w:rsid w:val="25733F7D"/>
    <w:rsid w:val="25734B61"/>
    <w:rsid w:val="257632D6"/>
    <w:rsid w:val="25855673"/>
    <w:rsid w:val="258F6BC4"/>
    <w:rsid w:val="2597510C"/>
    <w:rsid w:val="25975923"/>
    <w:rsid w:val="259A3D0A"/>
    <w:rsid w:val="25A95F3E"/>
    <w:rsid w:val="25BD12A6"/>
    <w:rsid w:val="25BF0CF9"/>
    <w:rsid w:val="25BF6041"/>
    <w:rsid w:val="25C35718"/>
    <w:rsid w:val="25C61D8C"/>
    <w:rsid w:val="25CF0252"/>
    <w:rsid w:val="25D0248E"/>
    <w:rsid w:val="25D61C5C"/>
    <w:rsid w:val="25F81D70"/>
    <w:rsid w:val="25FB5636"/>
    <w:rsid w:val="25FE58A9"/>
    <w:rsid w:val="26006FFE"/>
    <w:rsid w:val="26026DCF"/>
    <w:rsid w:val="26070462"/>
    <w:rsid w:val="260D2C45"/>
    <w:rsid w:val="261B63E3"/>
    <w:rsid w:val="262519C1"/>
    <w:rsid w:val="262E3CBF"/>
    <w:rsid w:val="26395C92"/>
    <w:rsid w:val="2641231E"/>
    <w:rsid w:val="264252DF"/>
    <w:rsid w:val="26465DA0"/>
    <w:rsid w:val="26562F1C"/>
    <w:rsid w:val="26577EF5"/>
    <w:rsid w:val="265A5249"/>
    <w:rsid w:val="265C53CB"/>
    <w:rsid w:val="266237C3"/>
    <w:rsid w:val="267550B9"/>
    <w:rsid w:val="26996DAE"/>
    <w:rsid w:val="26BE1846"/>
    <w:rsid w:val="26C472EC"/>
    <w:rsid w:val="26E51F4F"/>
    <w:rsid w:val="26E83216"/>
    <w:rsid w:val="26EC491A"/>
    <w:rsid w:val="26ED73E1"/>
    <w:rsid w:val="26F503CD"/>
    <w:rsid w:val="27036506"/>
    <w:rsid w:val="27047832"/>
    <w:rsid w:val="2706037D"/>
    <w:rsid w:val="27077793"/>
    <w:rsid w:val="270D152E"/>
    <w:rsid w:val="27104BA3"/>
    <w:rsid w:val="271436A9"/>
    <w:rsid w:val="27204B5D"/>
    <w:rsid w:val="27257DE1"/>
    <w:rsid w:val="272F31A0"/>
    <w:rsid w:val="27310CAC"/>
    <w:rsid w:val="27342901"/>
    <w:rsid w:val="273D2762"/>
    <w:rsid w:val="27470B72"/>
    <w:rsid w:val="27525E32"/>
    <w:rsid w:val="27604751"/>
    <w:rsid w:val="276621B4"/>
    <w:rsid w:val="276D111F"/>
    <w:rsid w:val="2778582E"/>
    <w:rsid w:val="27806765"/>
    <w:rsid w:val="27821DE7"/>
    <w:rsid w:val="27832596"/>
    <w:rsid w:val="278C1620"/>
    <w:rsid w:val="279B1E53"/>
    <w:rsid w:val="279C5F0C"/>
    <w:rsid w:val="279E0177"/>
    <w:rsid w:val="27AA3521"/>
    <w:rsid w:val="27AB7429"/>
    <w:rsid w:val="27B10D86"/>
    <w:rsid w:val="27C0656B"/>
    <w:rsid w:val="27C57B2B"/>
    <w:rsid w:val="27C8029E"/>
    <w:rsid w:val="27CC78AC"/>
    <w:rsid w:val="27D72FE7"/>
    <w:rsid w:val="27D86029"/>
    <w:rsid w:val="27DD45ED"/>
    <w:rsid w:val="27E3651B"/>
    <w:rsid w:val="27E864CC"/>
    <w:rsid w:val="27EC25E3"/>
    <w:rsid w:val="27ED0939"/>
    <w:rsid w:val="27F1498B"/>
    <w:rsid w:val="27F80CA0"/>
    <w:rsid w:val="28021134"/>
    <w:rsid w:val="2802750E"/>
    <w:rsid w:val="28027A71"/>
    <w:rsid w:val="281D5376"/>
    <w:rsid w:val="281F4F67"/>
    <w:rsid w:val="282857E6"/>
    <w:rsid w:val="283744B4"/>
    <w:rsid w:val="283E7768"/>
    <w:rsid w:val="28485D62"/>
    <w:rsid w:val="28517107"/>
    <w:rsid w:val="28524ABE"/>
    <w:rsid w:val="285560D7"/>
    <w:rsid w:val="286C77D1"/>
    <w:rsid w:val="286E74F1"/>
    <w:rsid w:val="28760CA0"/>
    <w:rsid w:val="287B218C"/>
    <w:rsid w:val="288A05DD"/>
    <w:rsid w:val="288C7637"/>
    <w:rsid w:val="28937D89"/>
    <w:rsid w:val="289B0550"/>
    <w:rsid w:val="28A044B5"/>
    <w:rsid w:val="28BD3F79"/>
    <w:rsid w:val="28C8606D"/>
    <w:rsid w:val="28C96C14"/>
    <w:rsid w:val="28DC6BC2"/>
    <w:rsid w:val="28DE11F1"/>
    <w:rsid w:val="28E138E3"/>
    <w:rsid w:val="28E74216"/>
    <w:rsid w:val="28E87EE4"/>
    <w:rsid w:val="28F61640"/>
    <w:rsid w:val="28FD484F"/>
    <w:rsid w:val="290212AC"/>
    <w:rsid w:val="2903396A"/>
    <w:rsid w:val="294E766A"/>
    <w:rsid w:val="2952590A"/>
    <w:rsid w:val="295545AF"/>
    <w:rsid w:val="29623F1E"/>
    <w:rsid w:val="297161D3"/>
    <w:rsid w:val="2978319A"/>
    <w:rsid w:val="29886D49"/>
    <w:rsid w:val="29897A2F"/>
    <w:rsid w:val="29A015B3"/>
    <w:rsid w:val="29A02DFF"/>
    <w:rsid w:val="29A3014B"/>
    <w:rsid w:val="29A74CBD"/>
    <w:rsid w:val="29A80BF5"/>
    <w:rsid w:val="29B01C34"/>
    <w:rsid w:val="29B16357"/>
    <w:rsid w:val="29BA0D88"/>
    <w:rsid w:val="29BB3E72"/>
    <w:rsid w:val="29CF32B2"/>
    <w:rsid w:val="29DE15A2"/>
    <w:rsid w:val="29E0500B"/>
    <w:rsid w:val="29EC475A"/>
    <w:rsid w:val="29EF3680"/>
    <w:rsid w:val="29EF424E"/>
    <w:rsid w:val="29FA7F26"/>
    <w:rsid w:val="2A0B7871"/>
    <w:rsid w:val="2A166823"/>
    <w:rsid w:val="2A35650F"/>
    <w:rsid w:val="2A405845"/>
    <w:rsid w:val="2A4562D4"/>
    <w:rsid w:val="2A4D593F"/>
    <w:rsid w:val="2A575627"/>
    <w:rsid w:val="2A6C2D77"/>
    <w:rsid w:val="2A6E31F8"/>
    <w:rsid w:val="2A7270B7"/>
    <w:rsid w:val="2A824349"/>
    <w:rsid w:val="2A87174E"/>
    <w:rsid w:val="2A8A2F9C"/>
    <w:rsid w:val="2AA45D17"/>
    <w:rsid w:val="2AAB3B94"/>
    <w:rsid w:val="2AAC5A06"/>
    <w:rsid w:val="2AB22DE3"/>
    <w:rsid w:val="2AB369FC"/>
    <w:rsid w:val="2AB775FB"/>
    <w:rsid w:val="2ABB3D6F"/>
    <w:rsid w:val="2AC318D9"/>
    <w:rsid w:val="2AC70B30"/>
    <w:rsid w:val="2ACC2AAF"/>
    <w:rsid w:val="2ACD717C"/>
    <w:rsid w:val="2AD74744"/>
    <w:rsid w:val="2AD91AC2"/>
    <w:rsid w:val="2AE57C95"/>
    <w:rsid w:val="2AF34B3D"/>
    <w:rsid w:val="2AF35C8B"/>
    <w:rsid w:val="2B055F4D"/>
    <w:rsid w:val="2B0C0EEE"/>
    <w:rsid w:val="2B112D02"/>
    <w:rsid w:val="2B132265"/>
    <w:rsid w:val="2B214776"/>
    <w:rsid w:val="2B2843BE"/>
    <w:rsid w:val="2B2A789A"/>
    <w:rsid w:val="2B313FC1"/>
    <w:rsid w:val="2B347C14"/>
    <w:rsid w:val="2B39348E"/>
    <w:rsid w:val="2B437285"/>
    <w:rsid w:val="2B494377"/>
    <w:rsid w:val="2B4D695C"/>
    <w:rsid w:val="2B514803"/>
    <w:rsid w:val="2B5E6C2A"/>
    <w:rsid w:val="2B637D4B"/>
    <w:rsid w:val="2B6B1684"/>
    <w:rsid w:val="2B7B70BF"/>
    <w:rsid w:val="2B853AF3"/>
    <w:rsid w:val="2B8B422C"/>
    <w:rsid w:val="2B950A36"/>
    <w:rsid w:val="2BA07D38"/>
    <w:rsid w:val="2BC40957"/>
    <w:rsid w:val="2BCA5C66"/>
    <w:rsid w:val="2BCB5DAA"/>
    <w:rsid w:val="2BD65380"/>
    <w:rsid w:val="2BD86372"/>
    <w:rsid w:val="2BDA39FD"/>
    <w:rsid w:val="2BE725D0"/>
    <w:rsid w:val="2BEF631E"/>
    <w:rsid w:val="2BF369B9"/>
    <w:rsid w:val="2BFC0A4A"/>
    <w:rsid w:val="2C094904"/>
    <w:rsid w:val="2C0E55A1"/>
    <w:rsid w:val="2C14030B"/>
    <w:rsid w:val="2C346DB5"/>
    <w:rsid w:val="2C3A7BF6"/>
    <w:rsid w:val="2C425BCE"/>
    <w:rsid w:val="2C44676A"/>
    <w:rsid w:val="2C495C38"/>
    <w:rsid w:val="2C4A080C"/>
    <w:rsid w:val="2C4E77B9"/>
    <w:rsid w:val="2C54533B"/>
    <w:rsid w:val="2C591378"/>
    <w:rsid w:val="2C5C1E78"/>
    <w:rsid w:val="2C722F9A"/>
    <w:rsid w:val="2C797A76"/>
    <w:rsid w:val="2C8B6C0E"/>
    <w:rsid w:val="2C8F4862"/>
    <w:rsid w:val="2C9E5AC8"/>
    <w:rsid w:val="2CA05674"/>
    <w:rsid w:val="2CA2721B"/>
    <w:rsid w:val="2CA63A0C"/>
    <w:rsid w:val="2CAC6D87"/>
    <w:rsid w:val="2CB23B2C"/>
    <w:rsid w:val="2CB268EE"/>
    <w:rsid w:val="2CB600FC"/>
    <w:rsid w:val="2CBE6567"/>
    <w:rsid w:val="2CCB6E18"/>
    <w:rsid w:val="2CCF5C52"/>
    <w:rsid w:val="2CE01F07"/>
    <w:rsid w:val="2CE8526F"/>
    <w:rsid w:val="2D024DC7"/>
    <w:rsid w:val="2D026315"/>
    <w:rsid w:val="2D0764BD"/>
    <w:rsid w:val="2D0A3DA2"/>
    <w:rsid w:val="2D0B3169"/>
    <w:rsid w:val="2D0D4219"/>
    <w:rsid w:val="2D105AFA"/>
    <w:rsid w:val="2D2279B8"/>
    <w:rsid w:val="2D260795"/>
    <w:rsid w:val="2D274320"/>
    <w:rsid w:val="2D2D2DE2"/>
    <w:rsid w:val="2D3117D3"/>
    <w:rsid w:val="2D324CCC"/>
    <w:rsid w:val="2D340E86"/>
    <w:rsid w:val="2D395427"/>
    <w:rsid w:val="2D3A2269"/>
    <w:rsid w:val="2D3D0E02"/>
    <w:rsid w:val="2D510F65"/>
    <w:rsid w:val="2D5436FA"/>
    <w:rsid w:val="2D59263A"/>
    <w:rsid w:val="2D62469E"/>
    <w:rsid w:val="2D6B40A9"/>
    <w:rsid w:val="2D8A3FA2"/>
    <w:rsid w:val="2D9767DC"/>
    <w:rsid w:val="2D980DDC"/>
    <w:rsid w:val="2D987372"/>
    <w:rsid w:val="2DA23689"/>
    <w:rsid w:val="2DBC2A76"/>
    <w:rsid w:val="2DC66A91"/>
    <w:rsid w:val="2DC92AA1"/>
    <w:rsid w:val="2DCE5F69"/>
    <w:rsid w:val="2DD51812"/>
    <w:rsid w:val="2DD63DB4"/>
    <w:rsid w:val="2DDD4F0A"/>
    <w:rsid w:val="2E0F49FC"/>
    <w:rsid w:val="2E147A92"/>
    <w:rsid w:val="2E2D64A9"/>
    <w:rsid w:val="2E34792A"/>
    <w:rsid w:val="2E376AEB"/>
    <w:rsid w:val="2E437E73"/>
    <w:rsid w:val="2E4A5201"/>
    <w:rsid w:val="2E5034DC"/>
    <w:rsid w:val="2E572AB9"/>
    <w:rsid w:val="2E600E38"/>
    <w:rsid w:val="2E7258DC"/>
    <w:rsid w:val="2E7545D2"/>
    <w:rsid w:val="2E79458E"/>
    <w:rsid w:val="2E797A78"/>
    <w:rsid w:val="2E7A5F31"/>
    <w:rsid w:val="2E7C6A94"/>
    <w:rsid w:val="2E8321A5"/>
    <w:rsid w:val="2E8475EF"/>
    <w:rsid w:val="2E8D14A8"/>
    <w:rsid w:val="2E95430E"/>
    <w:rsid w:val="2E9A2060"/>
    <w:rsid w:val="2E9F6D95"/>
    <w:rsid w:val="2EAE350B"/>
    <w:rsid w:val="2EB20A6C"/>
    <w:rsid w:val="2EBC2287"/>
    <w:rsid w:val="2EC3466D"/>
    <w:rsid w:val="2EC44440"/>
    <w:rsid w:val="2ECA3116"/>
    <w:rsid w:val="2EDD7896"/>
    <w:rsid w:val="2EEA6E65"/>
    <w:rsid w:val="2EF33C7C"/>
    <w:rsid w:val="2F00052B"/>
    <w:rsid w:val="2F0367CD"/>
    <w:rsid w:val="2F1251F2"/>
    <w:rsid w:val="2F2D445E"/>
    <w:rsid w:val="2F4B20A5"/>
    <w:rsid w:val="2F4F6FBB"/>
    <w:rsid w:val="2F5A00E5"/>
    <w:rsid w:val="2F5B737E"/>
    <w:rsid w:val="2F664E2B"/>
    <w:rsid w:val="2F6C7BE3"/>
    <w:rsid w:val="2F783485"/>
    <w:rsid w:val="2F7A17CB"/>
    <w:rsid w:val="2F7A78AC"/>
    <w:rsid w:val="2F7F5C0B"/>
    <w:rsid w:val="2F895685"/>
    <w:rsid w:val="2F9A13B4"/>
    <w:rsid w:val="2FA417BA"/>
    <w:rsid w:val="2FA6492D"/>
    <w:rsid w:val="2FC86676"/>
    <w:rsid w:val="2FD17A1B"/>
    <w:rsid w:val="2FD71CA4"/>
    <w:rsid w:val="2FDC432A"/>
    <w:rsid w:val="2FDC4A8D"/>
    <w:rsid w:val="2FE27109"/>
    <w:rsid w:val="2FEA743A"/>
    <w:rsid w:val="2FF24D11"/>
    <w:rsid w:val="2FF93066"/>
    <w:rsid w:val="301742B2"/>
    <w:rsid w:val="301A1509"/>
    <w:rsid w:val="301A71CE"/>
    <w:rsid w:val="301D63DD"/>
    <w:rsid w:val="301E049B"/>
    <w:rsid w:val="302A4BE6"/>
    <w:rsid w:val="304478EC"/>
    <w:rsid w:val="304F4511"/>
    <w:rsid w:val="30515C8E"/>
    <w:rsid w:val="305823FF"/>
    <w:rsid w:val="306B7868"/>
    <w:rsid w:val="30830761"/>
    <w:rsid w:val="30926F91"/>
    <w:rsid w:val="30962F3E"/>
    <w:rsid w:val="30A85733"/>
    <w:rsid w:val="30AA2585"/>
    <w:rsid w:val="30C16A19"/>
    <w:rsid w:val="30C262B6"/>
    <w:rsid w:val="30CB5800"/>
    <w:rsid w:val="30D32236"/>
    <w:rsid w:val="30DB6CFA"/>
    <w:rsid w:val="30E43E12"/>
    <w:rsid w:val="30E53B71"/>
    <w:rsid w:val="30E8513F"/>
    <w:rsid w:val="30FA7530"/>
    <w:rsid w:val="30FF2795"/>
    <w:rsid w:val="31015E30"/>
    <w:rsid w:val="310375CD"/>
    <w:rsid w:val="310854C5"/>
    <w:rsid w:val="310E6387"/>
    <w:rsid w:val="311611B3"/>
    <w:rsid w:val="311F6A53"/>
    <w:rsid w:val="313C313D"/>
    <w:rsid w:val="313F6DC6"/>
    <w:rsid w:val="314E236F"/>
    <w:rsid w:val="315C5815"/>
    <w:rsid w:val="315E0B07"/>
    <w:rsid w:val="31621F46"/>
    <w:rsid w:val="316A723C"/>
    <w:rsid w:val="316E7CA0"/>
    <w:rsid w:val="317206BF"/>
    <w:rsid w:val="317932EA"/>
    <w:rsid w:val="317938E9"/>
    <w:rsid w:val="317E5000"/>
    <w:rsid w:val="31870868"/>
    <w:rsid w:val="31875BB4"/>
    <w:rsid w:val="31A9328B"/>
    <w:rsid w:val="31B718F2"/>
    <w:rsid w:val="31C57B88"/>
    <w:rsid w:val="31D20051"/>
    <w:rsid w:val="31DC626C"/>
    <w:rsid w:val="31E745D2"/>
    <w:rsid w:val="31EF7EE8"/>
    <w:rsid w:val="3201404F"/>
    <w:rsid w:val="320901F5"/>
    <w:rsid w:val="320B7CCB"/>
    <w:rsid w:val="32105DE8"/>
    <w:rsid w:val="32286907"/>
    <w:rsid w:val="322E2721"/>
    <w:rsid w:val="3235187E"/>
    <w:rsid w:val="3237186B"/>
    <w:rsid w:val="323B6798"/>
    <w:rsid w:val="32537B57"/>
    <w:rsid w:val="325779E7"/>
    <w:rsid w:val="325F618E"/>
    <w:rsid w:val="32757E99"/>
    <w:rsid w:val="327D43E5"/>
    <w:rsid w:val="32842CF3"/>
    <w:rsid w:val="328F2182"/>
    <w:rsid w:val="328F5534"/>
    <w:rsid w:val="329A6217"/>
    <w:rsid w:val="329A6ACE"/>
    <w:rsid w:val="329C2950"/>
    <w:rsid w:val="32A145CA"/>
    <w:rsid w:val="32A230DB"/>
    <w:rsid w:val="32B52836"/>
    <w:rsid w:val="32DF351E"/>
    <w:rsid w:val="32EE5E41"/>
    <w:rsid w:val="32F1510B"/>
    <w:rsid w:val="32F40F87"/>
    <w:rsid w:val="32F520B9"/>
    <w:rsid w:val="32FD7C76"/>
    <w:rsid w:val="330414AF"/>
    <w:rsid w:val="330C22FC"/>
    <w:rsid w:val="33231081"/>
    <w:rsid w:val="332A6617"/>
    <w:rsid w:val="33540E5D"/>
    <w:rsid w:val="335A0521"/>
    <w:rsid w:val="335D7182"/>
    <w:rsid w:val="335E7B11"/>
    <w:rsid w:val="3364318B"/>
    <w:rsid w:val="33691888"/>
    <w:rsid w:val="336A499A"/>
    <w:rsid w:val="33714830"/>
    <w:rsid w:val="33737F51"/>
    <w:rsid w:val="3375654F"/>
    <w:rsid w:val="337964FF"/>
    <w:rsid w:val="337D34FB"/>
    <w:rsid w:val="337E2DAF"/>
    <w:rsid w:val="339C6DF8"/>
    <w:rsid w:val="33A47053"/>
    <w:rsid w:val="33AD5111"/>
    <w:rsid w:val="33BF4199"/>
    <w:rsid w:val="33CD23A8"/>
    <w:rsid w:val="33CD6498"/>
    <w:rsid w:val="33D7554F"/>
    <w:rsid w:val="33D825FA"/>
    <w:rsid w:val="33DB2AB1"/>
    <w:rsid w:val="33FE62E7"/>
    <w:rsid w:val="33FF7B8B"/>
    <w:rsid w:val="34080399"/>
    <w:rsid w:val="340D25F6"/>
    <w:rsid w:val="34161D6C"/>
    <w:rsid w:val="341E19AD"/>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5237E"/>
    <w:rsid w:val="3499657C"/>
    <w:rsid w:val="34A52713"/>
    <w:rsid w:val="34BD02AE"/>
    <w:rsid w:val="34BD32A6"/>
    <w:rsid w:val="34BE1B67"/>
    <w:rsid w:val="34C20DC7"/>
    <w:rsid w:val="34DA26A8"/>
    <w:rsid w:val="34DE2B9F"/>
    <w:rsid w:val="34DF0124"/>
    <w:rsid w:val="34E145D2"/>
    <w:rsid w:val="34E75EA5"/>
    <w:rsid w:val="34E960F1"/>
    <w:rsid w:val="34EE6187"/>
    <w:rsid w:val="350A65C4"/>
    <w:rsid w:val="350B42D5"/>
    <w:rsid w:val="350F6258"/>
    <w:rsid w:val="351A603C"/>
    <w:rsid w:val="35257EF7"/>
    <w:rsid w:val="352821F6"/>
    <w:rsid w:val="3533698A"/>
    <w:rsid w:val="35387F19"/>
    <w:rsid w:val="3539550B"/>
    <w:rsid w:val="354319AA"/>
    <w:rsid w:val="354D5E0E"/>
    <w:rsid w:val="355D10E3"/>
    <w:rsid w:val="356150BC"/>
    <w:rsid w:val="356678B4"/>
    <w:rsid w:val="3573649F"/>
    <w:rsid w:val="35774602"/>
    <w:rsid w:val="357E4B0A"/>
    <w:rsid w:val="35866D7F"/>
    <w:rsid w:val="358F6BDF"/>
    <w:rsid w:val="35917C0B"/>
    <w:rsid w:val="35A26AC9"/>
    <w:rsid w:val="35A440D7"/>
    <w:rsid w:val="35C06D50"/>
    <w:rsid w:val="35CD6F14"/>
    <w:rsid w:val="35D24294"/>
    <w:rsid w:val="35D71152"/>
    <w:rsid w:val="35F629BD"/>
    <w:rsid w:val="35FF6F3C"/>
    <w:rsid w:val="3600359A"/>
    <w:rsid w:val="36075F27"/>
    <w:rsid w:val="36121506"/>
    <w:rsid w:val="36180A4A"/>
    <w:rsid w:val="361D7A43"/>
    <w:rsid w:val="361E658D"/>
    <w:rsid w:val="361F3323"/>
    <w:rsid w:val="363019EB"/>
    <w:rsid w:val="36326D0C"/>
    <w:rsid w:val="36402EFA"/>
    <w:rsid w:val="36496A51"/>
    <w:rsid w:val="364F7CD0"/>
    <w:rsid w:val="36535FD0"/>
    <w:rsid w:val="365623F6"/>
    <w:rsid w:val="366B1251"/>
    <w:rsid w:val="366C7E67"/>
    <w:rsid w:val="368225B4"/>
    <w:rsid w:val="368230C6"/>
    <w:rsid w:val="36843A03"/>
    <w:rsid w:val="368F7E4F"/>
    <w:rsid w:val="36985297"/>
    <w:rsid w:val="369F633B"/>
    <w:rsid w:val="36A30FDB"/>
    <w:rsid w:val="36A7007C"/>
    <w:rsid w:val="36AB07EC"/>
    <w:rsid w:val="36B24AE8"/>
    <w:rsid w:val="36BD0DC4"/>
    <w:rsid w:val="36D51D00"/>
    <w:rsid w:val="36D66B5E"/>
    <w:rsid w:val="36D86634"/>
    <w:rsid w:val="36DE4AF9"/>
    <w:rsid w:val="36E410A4"/>
    <w:rsid w:val="36E93760"/>
    <w:rsid w:val="36F4550C"/>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611796"/>
    <w:rsid w:val="37625C1C"/>
    <w:rsid w:val="377519F1"/>
    <w:rsid w:val="377B528D"/>
    <w:rsid w:val="377D206E"/>
    <w:rsid w:val="377D4DA8"/>
    <w:rsid w:val="378229A7"/>
    <w:rsid w:val="3784394E"/>
    <w:rsid w:val="37946975"/>
    <w:rsid w:val="37987437"/>
    <w:rsid w:val="379F33FC"/>
    <w:rsid w:val="37A432E4"/>
    <w:rsid w:val="37A86196"/>
    <w:rsid w:val="37C94031"/>
    <w:rsid w:val="37CA042E"/>
    <w:rsid w:val="37CA2635"/>
    <w:rsid w:val="37D44549"/>
    <w:rsid w:val="37D77B09"/>
    <w:rsid w:val="37D931A8"/>
    <w:rsid w:val="37D97EDE"/>
    <w:rsid w:val="37E76E34"/>
    <w:rsid w:val="380632B2"/>
    <w:rsid w:val="380D02B1"/>
    <w:rsid w:val="38190834"/>
    <w:rsid w:val="381C3EB1"/>
    <w:rsid w:val="381E409C"/>
    <w:rsid w:val="382B1BDF"/>
    <w:rsid w:val="382E392C"/>
    <w:rsid w:val="38310B25"/>
    <w:rsid w:val="38325D99"/>
    <w:rsid w:val="38342E90"/>
    <w:rsid w:val="38451B7E"/>
    <w:rsid w:val="384B7332"/>
    <w:rsid w:val="384E20F8"/>
    <w:rsid w:val="385056AF"/>
    <w:rsid w:val="386A7142"/>
    <w:rsid w:val="386E0B2C"/>
    <w:rsid w:val="38706DCB"/>
    <w:rsid w:val="387E793E"/>
    <w:rsid w:val="388E5848"/>
    <w:rsid w:val="389E7B13"/>
    <w:rsid w:val="38A341A7"/>
    <w:rsid w:val="38AF6B7E"/>
    <w:rsid w:val="38BD240C"/>
    <w:rsid w:val="38BD31EE"/>
    <w:rsid w:val="38C05985"/>
    <w:rsid w:val="38C2629A"/>
    <w:rsid w:val="38CB3BDF"/>
    <w:rsid w:val="38CD22F1"/>
    <w:rsid w:val="38D33D29"/>
    <w:rsid w:val="38D41CCF"/>
    <w:rsid w:val="38E40A5B"/>
    <w:rsid w:val="38E51952"/>
    <w:rsid w:val="38F16A28"/>
    <w:rsid w:val="3913128B"/>
    <w:rsid w:val="391A3359"/>
    <w:rsid w:val="39285D57"/>
    <w:rsid w:val="39315D4D"/>
    <w:rsid w:val="39457B13"/>
    <w:rsid w:val="394B6470"/>
    <w:rsid w:val="395C6EA8"/>
    <w:rsid w:val="39841325"/>
    <w:rsid w:val="39872512"/>
    <w:rsid w:val="39A602F9"/>
    <w:rsid w:val="39BD45C8"/>
    <w:rsid w:val="39C2316A"/>
    <w:rsid w:val="39F36281"/>
    <w:rsid w:val="39FD376D"/>
    <w:rsid w:val="39FD6C9C"/>
    <w:rsid w:val="39FF6B36"/>
    <w:rsid w:val="3A0224B9"/>
    <w:rsid w:val="3A0526B5"/>
    <w:rsid w:val="3A14011B"/>
    <w:rsid w:val="3A1509F4"/>
    <w:rsid w:val="3A16728B"/>
    <w:rsid w:val="3A16794C"/>
    <w:rsid w:val="3A1E055E"/>
    <w:rsid w:val="3A1F6809"/>
    <w:rsid w:val="3A226969"/>
    <w:rsid w:val="3A3F47CE"/>
    <w:rsid w:val="3A410243"/>
    <w:rsid w:val="3A475185"/>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251957"/>
    <w:rsid w:val="3B2D3716"/>
    <w:rsid w:val="3B307112"/>
    <w:rsid w:val="3B307FDD"/>
    <w:rsid w:val="3B3D1A41"/>
    <w:rsid w:val="3B3E5BDD"/>
    <w:rsid w:val="3B552653"/>
    <w:rsid w:val="3B5A2A22"/>
    <w:rsid w:val="3B707794"/>
    <w:rsid w:val="3B7804A3"/>
    <w:rsid w:val="3B8E2153"/>
    <w:rsid w:val="3B9B2072"/>
    <w:rsid w:val="3BA03B83"/>
    <w:rsid w:val="3BA91F03"/>
    <w:rsid w:val="3BB16FA6"/>
    <w:rsid w:val="3BB17CE6"/>
    <w:rsid w:val="3BB20883"/>
    <w:rsid w:val="3BB448B0"/>
    <w:rsid w:val="3BC34E75"/>
    <w:rsid w:val="3BCB270F"/>
    <w:rsid w:val="3BD569C2"/>
    <w:rsid w:val="3BD96AA6"/>
    <w:rsid w:val="3BDB053C"/>
    <w:rsid w:val="3BE4466B"/>
    <w:rsid w:val="3BEC2DB7"/>
    <w:rsid w:val="3BED002E"/>
    <w:rsid w:val="3C0429BF"/>
    <w:rsid w:val="3C066389"/>
    <w:rsid w:val="3C0D66FC"/>
    <w:rsid w:val="3C120C48"/>
    <w:rsid w:val="3C1A201A"/>
    <w:rsid w:val="3C276807"/>
    <w:rsid w:val="3C306E2F"/>
    <w:rsid w:val="3C3274E5"/>
    <w:rsid w:val="3C371D4B"/>
    <w:rsid w:val="3C382561"/>
    <w:rsid w:val="3C3B4B9D"/>
    <w:rsid w:val="3C3F772B"/>
    <w:rsid w:val="3C413C82"/>
    <w:rsid w:val="3C471C36"/>
    <w:rsid w:val="3C4B0140"/>
    <w:rsid w:val="3C4D66ED"/>
    <w:rsid w:val="3C577D11"/>
    <w:rsid w:val="3C5A6B66"/>
    <w:rsid w:val="3C6472A5"/>
    <w:rsid w:val="3C734413"/>
    <w:rsid w:val="3C7A6E5A"/>
    <w:rsid w:val="3C8869CA"/>
    <w:rsid w:val="3C982C18"/>
    <w:rsid w:val="3CA734F8"/>
    <w:rsid w:val="3CA95F71"/>
    <w:rsid w:val="3CB33ABD"/>
    <w:rsid w:val="3CC16893"/>
    <w:rsid w:val="3CC74223"/>
    <w:rsid w:val="3CC828D0"/>
    <w:rsid w:val="3CCB43BE"/>
    <w:rsid w:val="3CDA6EE3"/>
    <w:rsid w:val="3CDB5F96"/>
    <w:rsid w:val="3CE23F49"/>
    <w:rsid w:val="3CE242F0"/>
    <w:rsid w:val="3CEA4F7F"/>
    <w:rsid w:val="3CEC39B8"/>
    <w:rsid w:val="3CF20887"/>
    <w:rsid w:val="3CF37919"/>
    <w:rsid w:val="3CF720E3"/>
    <w:rsid w:val="3CF72D6A"/>
    <w:rsid w:val="3CF86D06"/>
    <w:rsid w:val="3D00620E"/>
    <w:rsid w:val="3D035226"/>
    <w:rsid w:val="3D0E4AD7"/>
    <w:rsid w:val="3D31576C"/>
    <w:rsid w:val="3D316CDB"/>
    <w:rsid w:val="3D3373BD"/>
    <w:rsid w:val="3D3768D2"/>
    <w:rsid w:val="3D3A3838"/>
    <w:rsid w:val="3D3D6BBD"/>
    <w:rsid w:val="3D404CC7"/>
    <w:rsid w:val="3D450F8C"/>
    <w:rsid w:val="3D477118"/>
    <w:rsid w:val="3D51285A"/>
    <w:rsid w:val="3D594E54"/>
    <w:rsid w:val="3D62706F"/>
    <w:rsid w:val="3D6E2272"/>
    <w:rsid w:val="3D772B05"/>
    <w:rsid w:val="3D7C727A"/>
    <w:rsid w:val="3D81786B"/>
    <w:rsid w:val="3D830417"/>
    <w:rsid w:val="3D877AC5"/>
    <w:rsid w:val="3D882D35"/>
    <w:rsid w:val="3D8D2848"/>
    <w:rsid w:val="3D94235D"/>
    <w:rsid w:val="3D9461E1"/>
    <w:rsid w:val="3DAF37B0"/>
    <w:rsid w:val="3DB34E86"/>
    <w:rsid w:val="3DB36BC6"/>
    <w:rsid w:val="3DB80A86"/>
    <w:rsid w:val="3DBE6A34"/>
    <w:rsid w:val="3DC00481"/>
    <w:rsid w:val="3DDA3E19"/>
    <w:rsid w:val="3DED0F96"/>
    <w:rsid w:val="3DF130D5"/>
    <w:rsid w:val="3DF95812"/>
    <w:rsid w:val="3E0040D9"/>
    <w:rsid w:val="3E1328D6"/>
    <w:rsid w:val="3E1B7668"/>
    <w:rsid w:val="3E1C6544"/>
    <w:rsid w:val="3E1D4B24"/>
    <w:rsid w:val="3E2A7B0A"/>
    <w:rsid w:val="3E314520"/>
    <w:rsid w:val="3E3A04FA"/>
    <w:rsid w:val="3E3D6B96"/>
    <w:rsid w:val="3E3F202E"/>
    <w:rsid w:val="3E441C7D"/>
    <w:rsid w:val="3E490256"/>
    <w:rsid w:val="3E4C2EC5"/>
    <w:rsid w:val="3E55739E"/>
    <w:rsid w:val="3E6C43C8"/>
    <w:rsid w:val="3E8227F0"/>
    <w:rsid w:val="3E937F82"/>
    <w:rsid w:val="3E9B4B40"/>
    <w:rsid w:val="3EA926A7"/>
    <w:rsid w:val="3EB71AC8"/>
    <w:rsid w:val="3EC85E34"/>
    <w:rsid w:val="3ECF2AAC"/>
    <w:rsid w:val="3ED0424C"/>
    <w:rsid w:val="3ED07B7E"/>
    <w:rsid w:val="3EDC2C5B"/>
    <w:rsid w:val="3EF31E7F"/>
    <w:rsid w:val="3EF36DF0"/>
    <w:rsid w:val="3F035EE1"/>
    <w:rsid w:val="3F053EF6"/>
    <w:rsid w:val="3F093188"/>
    <w:rsid w:val="3F0C1E13"/>
    <w:rsid w:val="3F173F6B"/>
    <w:rsid w:val="3F1E1DE8"/>
    <w:rsid w:val="3F253B0C"/>
    <w:rsid w:val="3F2853A7"/>
    <w:rsid w:val="3F2C04C4"/>
    <w:rsid w:val="3F3E7C9F"/>
    <w:rsid w:val="3F416B99"/>
    <w:rsid w:val="3F4F5AD7"/>
    <w:rsid w:val="3F643908"/>
    <w:rsid w:val="3F6828C2"/>
    <w:rsid w:val="3F6A46DC"/>
    <w:rsid w:val="3F6B75A6"/>
    <w:rsid w:val="3F884CAB"/>
    <w:rsid w:val="3F8C0A49"/>
    <w:rsid w:val="3F8E7DCD"/>
    <w:rsid w:val="3F913853"/>
    <w:rsid w:val="3F93357F"/>
    <w:rsid w:val="3F9660C3"/>
    <w:rsid w:val="3F9724DD"/>
    <w:rsid w:val="3F9C79E3"/>
    <w:rsid w:val="3FA827ED"/>
    <w:rsid w:val="3FB45C58"/>
    <w:rsid w:val="3FBA1D11"/>
    <w:rsid w:val="3FC36557"/>
    <w:rsid w:val="3FC956FF"/>
    <w:rsid w:val="3FD13F50"/>
    <w:rsid w:val="3FDC5F31"/>
    <w:rsid w:val="3FE04625"/>
    <w:rsid w:val="3FE86CE8"/>
    <w:rsid w:val="3FEF3DCD"/>
    <w:rsid w:val="3FF148F7"/>
    <w:rsid w:val="3FFB0F66"/>
    <w:rsid w:val="40022F93"/>
    <w:rsid w:val="400E6DDA"/>
    <w:rsid w:val="40146E6B"/>
    <w:rsid w:val="40225B50"/>
    <w:rsid w:val="403052F1"/>
    <w:rsid w:val="40330D29"/>
    <w:rsid w:val="404469FD"/>
    <w:rsid w:val="404A2717"/>
    <w:rsid w:val="404E779F"/>
    <w:rsid w:val="4059090D"/>
    <w:rsid w:val="4065170A"/>
    <w:rsid w:val="40687776"/>
    <w:rsid w:val="406966BC"/>
    <w:rsid w:val="406C4DFB"/>
    <w:rsid w:val="406E5CAB"/>
    <w:rsid w:val="40713C35"/>
    <w:rsid w:val="40823B87"/>
    <w:rsid w:val="408355D6"/>
    <w:rsid w:val="408376F8"/>
    <w:rsid w:val="40A163F1"/>
    <w:rsid w:val="40A25054"/>
    <w:rsid w:val="40A325E0"/>
    <w:rsid w:val="40AE30AC"/>
    <w:rsid w:val="40AE7A15"/>
    <w:rsid w:val="40B41AE2"/>
    <w:rsid w:val="40B7228C"/>
    <w:rsid w:val="40BD0DA1"/>
    <w:rsid w:val="40D877F9"/>
    <w:rsid w:val="40EC7D18"/>
    <w:rsid w:val="40ED11A0"/>
    <w:rsid w:val="40F92E97"/>
    <w:rsid w:val="40FD1BF0"/>
    <w:rsid w:val="41015E92"/>
    <w:rsid w:val="41096BC0"/>
    <w:rsid w:val="410A75B6"/>
    <w:rsid w:val="410B452A"/>
    <w:rsid w:val="41146D26"/>
    <w:rsid w:val="411B6EDC"/>
    <w:rsid w:val="413353F1"/>
    <w:rsid w:val="41464224"/>
    <w:rsid w:val="414C0B0E"/>
    <w:rsid w:val="41513BC9"/>
    <w:rsid w:val="41735B7F"/>
    <w:rsid w:val="419302E2"/>
    <w:rsid w:val="419E558F"/>
    <w:rsid w:val="419E60D3"/>
    <w:rsid w:val="41A25332"/>
    <w:rsid w:val="41A339F5"/>
    <w:rsid w:val="41A36C7E"/>
    <w:rsid w:val="41AA4A84"/>
    <w:rsid w:val="41AF06D0"/>
    <w:rsid w:val="41C45B38"/>
    <w:rsid w:val="41C93F6C"/>
    <w:rsid w:val="41D5139D"/>
    <w:rsid w:val="41D75714"/>
    <w:rsid w:val="41DD3BC3"/>
    <w:rsid w:val="41E535F4"/>
    <w:rsid w:val="41EE2F03"/>
    <w:rsid w:val="41F466FD"/>
    <w:rsid w:val="42002BC7"/>
    <w:rsid w:val="42026B03"/>
    <w:rsid w:val="420C60D5"/>
    <w:rsid w:val="420D197F"/>
    <w:rsid w:val="42130DE5"/>
    <w:rsid w:val="42170BD5"/>
    <w:rsid w:val="42187EBE"/>
    <w:rsid w:val="42201DD7"/>
    <w:rsid w:val="42240D3F"/>
    <w:rsid w:val="42273D8C"/>
    <w:rsid w:val="4227435A"/>
    <w:rsid w:val="424154E1"/>
    <w:rsid w:val="42494A4D"/>
    <w:rsid w:val="424B5824"/>
    <w:rsid w:val="42616DD3"/>
    <w:rsid w:val="426973AD"/>
    <w:rsid w:val="426F56CA"/>
    <w:rsid w:val="42702D0D"/>
    <w:rsid w:val="427A67A1"/>
    <w:rsid w:val="427E0B36"/>
    <w:rsid w:val="429F2355"/>
    <w:rsid w:val="42A03D98"/>
    <w:rsid w:val="42A143B8"/>
    <w:rsid w:val="42A37FC3"/>
    <w:rsid w:val="42A729F1"/>
    <w:rsid w:val="42B94BC1"/>
    <w:rsid w:val="42BE4DAE"/>
    <w:rsid w:val="42BF61B0"/>
    <w:rsid w:val="42C30254"/>
    <w:rsid w:val="42C42A08"/>
    <w:rsid w:val="42D064B1"/>
    <w:rsid w:val="42D41F6D"/>
    <w:rsid w:val="42DE48A3"/>
    <w:rsid w:val="42E16058"/>
    <w:rsid w:val="42F17BF5"/>
    <w:rsid w:val="42F87EC9"/>
    <w:rsid w:val="42FA45BF"/>
    <w:rsid w:val="430E7E66"/>
    <w:rsid w:val="431C35C1"/>
    <w:rsid w:val="431C44AA"/>
    <w:rsid w:val="43296963"/>
    <w:rsid w:val="4332317A"/>
    <w:rsid w:val="433246A0"/>
    <w:rsid w:val="433E7EE2"/>
    <w:rsid w:val="433F6B54"/>
    <w:rsid w:val="43424AD7"/>
    <w:rsid w:val="4346543A"/>
    <w:rsid w:val="43533E29"/>
    <w:rsid w:val="43561E16"/>
    <w:rsid w:val="435B1259"/>
    <w:rsid w:val="436263D5"/>
    <w:rsid w:val="437556C4"/>
    <w:rsid w:val="43874CD4"/>
    <w:rsid w:val="43874FE8"/>
    <w:rsid w:val="439B699F"/>
    <w:rsid w:val="439D3E18"/>
    <w:rsid w:val="439F1200"/>
    <w:rsid w:val="43AE320F"/>
    <w:rsid w:val="43AF2D32"/>
    <w:rsid w:val="43B13512"/>
    <w:rsid w:val="43B76E4F"/>
    <w:rsid w:val="43C24E88"/>
    <w:rsid w:val="43C9176D"/>
    <w:rsid w:val="43CF0206"/>
    <w:rsid w:val="43D50BA1"/>
    <w:rsid w:val="43D81E71"/>
    <w:rsid w:val="43D85D6D"/>
    <w:rsid w:val="43E23D98"/>
    <w:rsid w:val="43EC6F1F"/>
    <w:rsid w:val="43F124F2"/>
    <w:rsid w:val="43FE44BA"/>
    <w:rsid w:val="43FE63A7"/>
    <w:rsid w:val="440656C2"/>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323D4"/>
    <w:rsid w:val="44957F46"/>
    <w:rsid w:val="44994CF5"/>
    <w:rsid w:val="44AF6578"/>
    <w:rsid w:val="44B463D5"/>
    <w:rsid w:val="44C17003"/>
    <w:rsid w:val="44C90753"/>
    <w:rsid w:val="44D649CF"/>
    <w:rsid w:val="44DC46EB"/>
    <w:rsid w:val="44EA6491"/>
    <w:rsid w:val="44EB5134"/>
    <w:rsid w:val="44F03F8F"/>
    <w:rsid w:val="44F14ECF"/>
    <w:rsid w:val="45042FB1"/>
    <w:rsid w:val="45162B93"/>
    <w:rsid w:val="45234E43"/>
    <w:rsid w:val="45275172"/>
    <w:rsid w:val="452F5B3A"/>
    <w:rsid w:val="45332511"/>
    <w:rsid w:val="45370B65"/>
    <w:rsid w:val="453F44DA"/>
    <w:rsid w:val="45412C46"/>
    <w:rsid w:val="454D3110"/>
    <w:rsid w:val="45514AD5"/>
    <w:rsid w:val="4552412E"/>
    <w:rsid w:val="45570907"/>
    <w:rsid w:val="455908C0"/>
    <w:rsid w:val="455933A5"/>
    <w:rsid w:val="45724579"/>
    <w:rsid w:val="45743BE6"/>
    <w:rsid w:val="4575513B"/>
    <w:rsid w:val="45761EDD"/>
    <w:rsid w:val="457A7286"/>
    <w:rsid w:val="457B06AA"/>
    <w:rsid w:val="457C7D39"/>
    <w:rsid w:val="458667C4"/>
    <w:rsid w:val="458F5163"/>
    <w:rsid w:val="45934E4A"/>
    <w:rsid w:val="459405E3"/>
    <w:rsid w:val="459C5A47"/>
    <w:rsid w:val="45A82F38"/>
    <w:rsid w:val="45B047D1"/>
    <w:rsid w:val="45B77545"/>
    <w:rsid w:val="45BE6191"/>
    <w:rsid w:val="45BE648C"/>
    <w:rsid w:val="45C661BC"/>
    <w:rsid w:val="45CA082F"/>
    <w:rsid w:val="45CD2126"/>
    <w:rsid w:val="45CF358A"/>
    <w:rsid w:val="45DD738A"/>
    <w:rsid w:val="45E372CD"/>
    <w:rsid w:val="45FB2D6A"/>
    <w:rsid w:val="460C5979"/>
    <w:rsid w:val="46110AB3"/>
    <w:rsid w:val="46143B66"/>
    <w:rsid w:val="4615371C"/>
    <w:rsid w:val="46214325"/>
    <w:rsid w:val="4626398E"/>
    <w:rsid w:val="46315F44"/>
    <w:rsid w:val="463246EC"/>
    <w:rsid w:val="463425D3"/>
    <w:rsid w:val="463A3547"/>
    <w:rsid w:val="464B28C8"/>
    <w:rsid w:val="464E0973"/>
    <w:rsid w:val="46555DC3"/>
    <w:rsid w:val="46617DB2"/>
    <w:rsid w:val="46621065"/>
    <w:rsid w:val="46665198"/>
    <w:rsid w:val="46697236"/>
    <w:rsid w:val="46770F8B"/>
    <w:rsid w:val="467C16FA"/>
    <w:rsid w:val="46842633"/>
    <w:rsid w:val="46875964"/>
    <w:rsid w:val="46894B18"/>
    <w:rsid w:val="469448C6"/>
    <w:rsid w:val="469E47A2"/>
    <w:rsid w:val="46AB0067"/>
    <w:rsid w:val="46AD2069"/>
    <w:rsid w:val="46B80AF8"/>
    <w:rsid w:val="46D37F0B"/>
    <w:rsid w:val="46D6030E"/>
    <w:rsid w:val="46D71533"/>
    <w:rsid w:val="46E53335"/>
    <w:rsid w:val="46E544E3"/>
    <w:rsid w:val="46E87DBA"/>
    <w:rsid w:val="46EE15F6"/>
    <w:rsid w:val="46EE2CC7"/>
    <w:rsid w:val="46FA7468"/>
    <w:rsid w:val="470F7B86"/>
    <w:rsid w:val="47155D89"/>
    <w:rsid w:val="472F0207"/>
    <w:rsid w:val="473069AF"/>
    <w:rsid w:val="47356ECD"/>
    <w:rsid w:val="474A0EAF"/>
    <w:rsid w:val="474E50BE"/>
    <w:rsid w:val="47523FA0"/>
    <w:rsid w:val="476700F2"/>
    <w:rsid w:val="47696F9C"/>
    <w:rsid w:val="47714F1F"/>
    <w:rsid w:val="47725A17"/>
    <w:rsid w:val="47756A03"/>
    <w:rsid w:val="477D3243"/>
    <w:rsid w:val="478821A1"/>
    <w:rsid w:val="478D3694"/>
    <w:rsid w:val="479128A9"/>
    <w:rsid w:val="47956820"/>
    <w:rsid w:val="47975EDC"/>
    <w:rsid w:val="47983B19"/>
    <w:rsid w:val="479E2C8A"/>
    <w:rsid w:val="47A3609D"/>
    <w:rsid w:val="47C01792"/>
    <w:rsid w:val="47C57A48"/>
    <w:rsid w:val="47D511BD"/>
    <w:rsid w:val="47F51975"/>
    <w:rsid w:val="4808150F"/>
    <w:rsid w:val="480F51A8"/>
    <w:rsid w:val="481604F9"/>
    <w:rsid w:val="481A006F"/>
    <w:rsid w:val="48256B1B"/>
    <w:rsid w:val="48282713"/>
    <w:rsid w:val="482A6E62"/>
    <w:rsid w:val="482F2437"/>
    <w:rsid w:val="484417FA"/>
    <w:rsid w:val="48450ECE"/>
    <w:rsid w:val="484759CD"/>
    <w:rsid w:val="484B14EC"/>
    <w:rsid w:val="48602710"/>
    <w:rsid w:val="48713351"/>
    <w:rsid w:val="48725C43"/>
    <w:rsid w:val="48802846"/>
    <w:rsid w:val="488260F9"/>
    <w:rsid w:val="48850157"/>
    <w:rsid w:val="48A4573B"/>
    <w:rsid w:val="48A71C34"/>
    <w:rsid w:val="48A736CF"/>
    <w:rsid w:val="48B116EA"/>
    <w:rsid w:val="48B74C7A"/>
    <w:rsid w:val="48B95FE2"/>
    <w:rsid w:val="48BE32BF"/>
    <w:rsid w:val="48C11BEB"/>
    <w:rsid w:val="48C354EC"/>
    <w:rsid w:val="48CF1A39"/>
    <w:rsid w:val="48D429DD"/>
    <w:rsid w:val="48E01C77"/>
    <w:rsid w:val="48E22285"/>
    <w:rsid w:val="48E50D90"/>
    <w:rsid w:val="48EB0B49"/>
    <w:rsid w:val="48EB0D16"/>
    <w:rsid w:val="48FA15CC"/>
    <w:rsid w:val="48FF0DD1"/>
    <w:rsid w:val="490F071A"/>
    <w:rsid w:val="491B63DF"/>
    <w:rsid w:val="491D63E9"/>
    <w:rsid w:val="49247EB1"/>
    <w:rsid w:val="49302F0F"/>
    <w:rsid w:val="4932285C"/>
    <w:rsid w:val="49331971"/>
    <w:rsid w:val="49384E02"/>
    <w:rsid w:val="493E2F78"/>
    <w:rsid w:val="493F3A9E"/>
    <w:rsid w:val="495217DF"/>
    <w:rsid w:val="49547ADD"/>
    <w:rsid w:val="4958367A"/>
    <w:rsid w:val="4960425F"/>
    <w:rsid w:val="498A16CD"/>
    <w:rsid w:val="498A7FB5"/>
    <w:rsid w:val="499145D9"/>
    <w:rsid w:val="49A33C27"/>
    <w:rsid w:val="49A750B5"/>
    <w:rsid w:val="49B93B41"/>
    <w:rsid w:val="49BE07DA"/>
    <w:rsid w:val="49C32414"/>
    <w:rsid w:val="49C84AA0"/>
    <w:rsid w:val="49CA7400"/>
    <w:rsid w:val="49D7694D"/>
    <w:rsid w:val="49D87799"/>
    <w:rsid w:val="49E27151"/>
    <w:rsid w:val="49F400AC"/>
    <w:rsid w:val="49F9104E"/>
    <w:rsid w:val="4A0244D3"/>
    <w:rsid w:val="4A255046"/>
    <w:rsid w:val="4A2A2AD0"/>
    <w:rsid w:val="4A2E1525"/>
    <w:rsid w:val="4A5A756D"/>
    <w:rsid w:val="4A722B4C"/>
    <w:rsid w:val="4A785772"/>
    <w:rsid w:val="4A7A7433"/>
    <w:rsid w:val="4A842E43"/>
    <w:rsid w:val="4A886D1D"/>
    <w:rsid w:val="4A89105B"/>
    <w:rsid w:val="4A955EEB"/>
    <w:rsid w:val="4AA341CC"/>
    <w:rsid w:val="4AC13295"/>
    <w:rsid w:val="4AC31003"/>
    <w:rsid w:val="4AC40F4C"/>
    <w:rsid w:val="4AC91D29"/>
    <w:rsid w:val="4AD25F33"/>
    <w:rsid w:val="4AD763B8"/>
    <w:rsid w:val="4ADD641F"/>
    <w:rsid w:val="4AE072CB"/>
    <w:rsid w:val="4AE93159"/>
    <w:rsid w:val="4AED65F4"/>
    <w:rsid w:val="4AF02EA1"/>
    <w:rsid w:val="4B0428AF"/>
    <w:rsid w:val="4B174032"/>
    <w:rsid w:val="4B1C3A76"/>
    <w:rsid w:val="4B1D7328"/>
    <w:rsid w:val="4B250CF8"/>
    <w:rsid w:val="4B2873FD"/>
    <w:rsid w:val="4B3D4DE9"/>
    <w:rsid w:val="4B59618C"/>
    <w:rsid w:val="4B5B2C7E"/>
    <w:rsid w:val="4B6A74A5"/>
    <w:rsid w:val="4B6F1D56"/>
    <w:rsid w:val="4B7C4100"/>
    <w:rsid w:val="4B830F9B"/>
    <w:rsid w:val="4B8F2DD0"/>
    <w:rsid w:val="4B9B06E8"/>
    <w:rsid w:val="4B9B0C47"/>
    <w:rsid w:val="4B9D4011"/>
    <w:rsid w:val="4BA34CD3"/>
    <w:rsid w:val="4BB36BDD"/>
    <w:rsid w:val="4BB60507"/>
    <w:rsid w:val="4BC32290"/>
    <w:rsid w:val="4BC64C9C"/>
    <w:rsid w:val="4BD0339A"/>
    <w:rsid w:val="4BF32495"/>
    <w:rsid w:val="4BFA131A"/>
    <w:rsid w:val="4BFA3FA2"/>
    <w:rsid w:val="4C172533"/>
    <w:rsid w:val="4C1905D9"/>
    <w:rsid w:val="4C2910DF"/>
    <w:rsid w:val="4C2B4DDD"/>
    <w:rsid w:val="4C312198"/>
    <w:rsid w:val="4C336177"/>
    <w:rsid w:val="4C471A55"/>
    <w:rsid w:val="4C562920"/>
    <w:rsid w:val="4C5D1F92"/>
    <w:rsid w:val="4C603F16"/>
    <w:rsid w:val="4C6262E0"/>
    <w:rsid w:val="4C6703A3"/>
    <w:rsid w:val="4C6D7518"/>
    <w:rsid w:val="4C8C1682"/>
    <w:rsid w:val="4C923A72"/>
    <w:rsid w:val="4CAB3057"/>
    <w:rsid w:val="4CB531CC"/>
    <w:rsid w:val="4CB80C32"/>
    <w:rsid w:val="4CB96B0F"/>
    <w:rsid w:val="4CBD582C"/>
    <w:rsid w:val="4CC21369"/>
    <w:rsid w:val="4CD1735E"/>
    <w:rsid w:val="4CDF165F"/>
    <w:rsid w:val="4CE34E9F"/>
    <w:rsid w:val="4CF52D94"/>
    <w:rsid w:val="4D075911"/>
    <w:rsid w:val="4D0C6B0F"/>
    <w:rsid w:val="4D1216BD"/>
    <w:rsid w:val="4D231A3E"/>
    <w:rsid w:val="4D2822A5"/>
    <w:rsid w:val="4D3C254D"/>
    <w:rsid w:val="4D4001E4"/>
    <w:rsid w:val="4D462159"/>
    <w:rsid w:val="4D47409F"/>
    <w:rsid w:val="4D525BE3"/>
    <w:rsid w:val="4D566017"/>
    <w:rsid w:val="4D6022FC"/>
    <w:rsid w:val="4D6748C7"/>
    <w:rsid w:val="4D7D3EFB"/>
    <w:rsid w:val="4D883EF9"/>
    <w:rsid w:val="4D8B0123"/>
    <w:rsid w:val="4D907392"/>
    <w:rsid w:val="4D940DD6"/>
    <w:rsid w:val="4D9A37B9"/>
    <w:rsid w:val="4DAE4B1E"/>
    <w:rsid w:val="4DAF14C5"/>
    <w:rsid w:val="4DB9067A"/>
    <w:rsid w:val="4DC605B6"/>
    <w:rsid w:val="4DD732D2"/>
    <w:rsid w:val="4DEC0985"/>
    <w:rsid w:val="4E000105"/>
    <w:rsid w:val="4E0538A3"/>
    <w:rsid w:val="4E0E6818"/>
    <w:rsid w:val="4E27683A"/>
    <w:rsid w:val="4E321D35"/>
    <w:rsid w:val="4E397241"/>
    <w:rsid w:val="4E3C1DE4"/>
    <w:rsid w:val="4E464E00"/>
    <w:rsid w:val="4E4B2E60"/>
    <w:rsid w:val="4E4C50A3"/>
    <w:rsid w:val="4E510698"/>
    <w:rsid w:val="4E576363"/>
    <w:rsid w:val="4E59789B"/>
    <w:rsid w:val="4E5D49B1"/>
    <w:rsid w:val="4E635567"/>
    <w:rsid w:val="4E674786"/>
    <w:rsid w:val="4E6D0F25"/>
    <w:rsid w:val="4E6F309C"/>
    <w:rsid w:val="4E710F05"/>
    <w:rsid w:val="4E742982"/>
    <w:rsid w:val="4E7F1E8F"/>
    <w:rsid w:val="4E862481"/>
    <w:rsid w:val="4E8C4141"/>
    <w:rsid w:val="4E901714"/>
    <w:rsid w:val="4E93511F"/>
    <w:rsid w:val="4E9B4432"/>
    <w:rsid w:val="4E9C0636"/>
    <w:rsid w:val="4E9D29FB"/>
    <w:rsid w:val="4EA30DB6"/>
    <w:rsid w:val="4EA7341F"/>
    <w:rsid w:val="4EB35A3D"/>
    <w:rsid w:val="4ECD2AFD"/>
    <w:rsid w:val="4EDB58B2"/>
    <w:rsid w:val="4EE925CE"/>
    <w:rsid w:val="4EEB1A94"/>
    <w:rsid w:val="4EEF2E30"/>
    <w:rsid w:val="4EF24828"/>
    <w:rsid w:val="4EFE7F59"/>
    <w:rsid w:val="4F0557AF"/>
    <w:rsid w:val="4F285975"/>
    <w:rsid w:val="4F2A1A96"/>
    <w:rsid w:val="4F2A7BF3"/>
    <w:rsid w:val="4F2E2624"/>
    <w:rsid w:val="4F4E1077"/>
    <w:rsid w:val="4F546156"/>
    <w:rsid w:val="4F5B6F39"/>
    <w:rsid w:val="4F621F24"/>
    <w:rsid w:val="4F64780B"/>
    <w:rsid w:val="4F844A99"/>
    <w:rsid w:val="4F94662C"/>
    <w:rsid w:val="4FAB774E"/>
    <w:rsid w:val="4FB00163"/>
    <w:rsid w:val="4FB208E7"/>
    <w:rsid w:val="4FB47CBB"/>
    <w:rsid w:val="4FE30332"/>
    <w:rsid w:val="4FE70BB4"/>
    <w:rsid w:val="4FE73C01"/>
    <w:rsid w:val="4FE76D51"/>
    <w:rsid w:val="4FE87C31"/>
    <w:rsid w:val="4FF03F98"/>
    <w:rsid w:val="4FF14DCF"/>
    <w:rsid w:val="4FF62B3F"/>
    <w:rsid w:val="50062EF6"/>
    <w:rsid w:val="5008113B"/>
    <w:rsid w:val="500815B6"/>
    <w:rsid w:val="500A7223"/>
    <w:rsid w:val="500B39BC"/>
    <w:rsid w:val="500C204A"/>
    <w:rsid w:val="501502DD"/>
    <w:rsid w:val="501A2172"/>
    <w:rsid w:val="502173F8"/>
    <w:rsid w:val="5022123F"/>
    <w:rsid w:val="502B7315"/>
    <w:rsid w:val="503E570B"/>
    <w:rsid w:val="503F32CF"/>
    <w:rsid w:val="503F62FD"/>
    <w:rsid w:val="5041152A"/>
    <w:rsid w:val="504A1A7A"/>
    <w:rsid w:val="504C77D2"/>
    <w:rsid w:val="50560460"/>
    <w:rsid w:val="50601A5C"/>
    <w:rsid w:val="507055F2"/>
    <w:rsid w:val="507E1B25"/>
    <w:rsid w:val="508E3B94"/>
    <w:rsid w:val="508E4492"/>
    <w:rsid w:val="5090223F"/>
    <w:rsid w:val="50924591"/>
    <w:rsid w:val="50943125"/>
    <w:rsid w:val="50A578DE"/>
    <w:rsid w:val="50A649F5"/>
    <w:rsid w:val="50AB5EB6"/>
    <w:rsid w:val="50AD494C"/>
    <w:rsid w:val="50AE6FE2"/>
    <w:rsid w:val="50B16618"/>
    <w:rsid w:val="50BB6306"/>
    <w:rsid w:val="50C12EDC"/>
    <w:rsid w:val="50CD2E4B"/>
    <w:rsid w:val="50D8533B"/>
    <w:rsid w:val="50DA0A9E"/>
    <w:rsid w:val="50ED21B8"/>
    <w:rsid w:val="50F31CB9"/>
    <w:rsid w:val="50F66F3D"/>
    <w:rsid w:val="50F8688B"/>
    <w:rsid w:val="50FC4E36"/>
    <w:rsid w:val="51002FFC"/>
    <w:rsid w:val="5105169B"/>
    <w:rsid w:val="51062881"/>
    <w:rsid w:val="510861B3"/>
    <w:rsid w:val="510956BD"/>
    <w:rsid w:val="5114696C"/>
    <w:rsid w:val="5121766A"/>
    <w:rsid w:val="51230220"/>
    <w:rsid w:val="513E7AC2"/>
    <w:rsid w:val="513F6CC6"/>
    <w:rsid w:val="51471753"/>
    <w:rsid w:val="514E4912"/>
    <w:rsid w:val="515400FF"/>
    <w:rsid w:val="515441FE"/>
    <w:rsid w:val="515D735D"/>
    <w:rsid w:val="5161556E"/>
    <w:rsid w:val="51631E12"/>
    <w:rsid w:val="516A5418"/>
    <w:rsid w:val="516F4764"/>
    <w:rsid w:val="51781A83"/>
    <w:rsid w:val="51867298"/>
    <w:rsid w:val="51894D69"/>
    <w:rsid w:val="518D21E1"/>
    <w:rsid w:val="518E6224"/>
    <w:rsid w:val="51930297"/>
    <w:rsid w:val="51953936"/>
    <w:rsid w:val="519E116A"/>
    <w:rsid w:val="51A2793A"/>
    <w:rsid w:val="51AF3CDC"/>
    <w:rsid w:val="51B10868"/>
    <w:rsid w:val="51B71820"/>
    <w:rsid w:val="51BA0CB7"/>
    <w:rsid w:val="51CA4619"/>
    <w:rsid w:val="51D129CA"/>
    <w:rsid w:val="51D75253"/>
    <w:rsid w:val="51D93F8A"/>
    <w:rsid w:val="51E5046A"/>
    <w:rsid w:val="51F6353C"/>
    <w:rsid w:val="520D7B42"/>
    <w:rsid w:val="52175F05"/>
    <w:rsid w:val="52272B85"/>
    <w:rsid w:val="52284E31"/>
    <w:rsid w:val="522A5519"/>
    <w:rsid w:val="523E09B5"/>
    <w:rsid w:val="524053B4"/>
    <w:rsid w:val="52431715"/>
    <w:rsid w:val="52687B2A"/>
    <w:rsid w:val="526E0E82"/>
    <w:rsid w:val="527901C6"/>
    <w:rsid w:val="528241AF"/>
    <w:rsid w:val="52831D64"/>
    <w:rsid w:val="528F4A24"/>
    <w:rsid w:val="52944BB6"/>
    <w:rsid w:val="529C012B"/>
    <w:rsid w:val="52A24532"/>
    <w:rsid w:val="52A611A1"/>
    <w:rsid w:val="52AB02F9"/>
    <w:rsid w:val="52AB4331"/>
    <w:rsid w:val="52B24D9E"/>
    <w:rsid w:val="52B3363A"/>
    <w:rsid w:val="52C33084"/>
    <w:rsid w:val="52C4763C"/>
    <w:rsid w:val="52C552C3"/>
    <w:rsid w:val="52CE7860"/>
    <w:rsid w:val="52D102DF"/>
    <w:rsid w:val="52DE691D"/>
    <w:rsid w:val="52E04D27"/>
    <w:rsid w:val="52ED0C96"/>
    <w:rsid w:val="52EE10AF"/>
    <w:rsid w:val="53061721"/>
    <w:rsid w:val="530C0E6B"/>
    <w:rsid w:val="530C41A5"/>
    <w:rsid w:val="531C3F9F"/>
    <w:rsid w:val="532F77EA"/>
    <w:rsid w:val="53367575"/>
    <w:rsid w:val="533933AA"/>
    <w:rsid w:val="533B7F54"/>
    <w:rsid w:val="533D2D66"/>
    <w:rsid w:val="535009E1"/>
    <w:rsid w:val="53650168"/>
    <w:rsid w:val="53665DA9"/>
    <w:rsid w:val="536C2A29"/>
    <w:rsid w:val="536E571F"/>
    <w:rsid w:val="538859E4"/>
    <w:rsid w:val="538E3092"/>
    <w:rsid w:val="53902F6B"/>
    <w:rsid w:val="539F394B"/>
    <w:rsid w:val="53A20FFA"/>
    <w:rsid w:val="53A233E4"/>
    <w:rsid w:val="53A63AE8"/>
    <w:rsid w:val="53A94C48"/>
    <w:rsid w:val="53AA7BC7"/>
    <w:rsid w:val="53AE5EA5"/>
    <w:rsid w:val="53B00B1F"/>
    <w:rsid w:val="53B2409D"/>
    <w:rsid w:val="53B31E73"/>
    <w:rsid w:val="53BD0731"/>
    <w:rsid w:val="53BF4252"/>
    <w:rsid w:val="53D5647F"/>
    <w:rsid w:val="53D6247A"/>
    <w:rsid w:val="53DB3477"/>
    <w:rsid w:val="53DE00FF"/>
    <w:rsid w:val="53E656AF"/>
    <w:rsid w:val="53E77CBF"/>
    <w:rsid w:val="53FE7128"/>
    <w:rsid w:val="54201800"/>
    <w:rsid w:val="54247F22"/>
    <w:rsid w:val="5427150F"/>
    <w:rsid w:val="542B1B24"/>
    <w:rsid w:val="542B76D0"/>
    <w:rsid w:val="542C29CD"/>
    <w:rsid w:val="542F1551"/>
    <w:rsid w:val="54381756"/>
    <w:rsid w:val="545750B7"/>
    <w:rsid w:val="545A1EBF"/>
    <w:rsid w:val="545E39AA"/>
    <w:rsid w:val="54602EAD"/>
    <w:rsid w:val="5460437B"/>
    <w:rsid w:val="54727478"/>
    <w:rsid w:val="54B06F11"/>
    <w:rsid w:val="54B56DF4"/>
    <w:rsid w:val="54B93943"/>
    <w:rsid w:val="54BE5578"/>
    <w:rsid w:val="54BF52B5"/>
    <w:rsid w:val="54D202CA"/>
    <w:rsid w:val="54D54E59"/>
    <w:rsid w:val="54DD41DB"/>
    <w:rsid w:val="54ED3D78"/>
    <w:rsid w:val="54F0664A"/>
    <w:rsid w:val="54F52BA3"/>
    <w:rsid w:val="54F54E04"/>
    <w:rsid w:val="54FD1E28"/>
    <w:rsid w:val="550B4121"/>
    <w:rsid w:val="550D5CFC"/>
    <w:rsid w:val="550F3357"/>
    <w:rsid w:val="55126CC5"/>
    <w:rsid w:val="55197997"/>
    <w:rsid w:val="551A4479"/>
    <w:rsid w:val="551B7F0A"/>
    <w:rsid w:val="552A6B56"/>
    <w:rsid w:val="55314F13"/>
    <w:rsid w:val="5532385A"/>
    <w:rsid w:val="55333717"/>
    <w:rsid w:val="55381D42"/>
    <w:rsid w:val="55401B14"/>
    <w:rsid w:val="554748F2"/>
    <w:rsid w:val="554D414C"/>
    <w:rsid w:val="554E7279"/>
    <w:rsid w:val="55594FFB"/>
    <w:rsid w:val="55637CEB"/>
    <w:rsid w:val="55677DDA"/>
    <w:rsid w:val="556A71C0"/>
    <w:rsid w:val="55757FB9"/>
    <w:rsid w:val="55884237"/>
    <w:rsid w:val="558B1E31"/>
    <w:rsid w:val="558C7FAA"/>
    <w:rsid w:val="55900510"/>
    <w:rsid w:val="55947881"/>
    <w:rsid w:val="55A25EB7"/>
    <w:rsid w:val="55A82784"/>
    <w:rsid w:val="55A97512"/>
    <w:rsid w:val="55B524B9"/>
    <w:rsid w:val="55B63FD5"/>
    <w:rsid w:val="55C35A76"/>
    <w:rsid w:val="55D40743"/>
    <w:rsid w:val="55DD6F2A"/>
    <w:rsid w:val="55E73480"/>
    <w:rsid w:val="55E8339E"/>
    <w:rsid w:val="55F06771"/>
    <w:rsid w:val="560C022B"/>
    <w:rsid w:val="560D5F48"/>
    <w:rsid w:val="56106284"/>
    <w:rsid w:val="56182852"/>
    <w:rsid w:val="5632642A"/>
    <w:rsid w:val="56375B61"/>
    <w:rsid w:val="564944F4"/>
    <w:rsid w:val="564E5820"/>
    <w:rsid w:val="565104C5"/>
    <w:rsid w:val="56630C00"/>
    <w:rsid w:val="56721038"/>
    <w:rsid w:val="567739D2"/>
    <w:rsid w:val="56775A0A"/>
    <w:rsid w:val="5686536D"/>
    <w:rsid w:val="568B1DB1"/>
    <w:rsid w:val="56A55214"/>
    <w:rsid w:val="56A67978"/>
    <w:rsid w:val="56AC63C5"/>
    <w:rsid w:val="56C1700B"/>
    <w:rsid w:val="56C56513"/>
    <w:rsid w:val="56CF48FB"/>
    <w:rsid w:val="56D25618"/>
    <w:rsid w:val="56D5675C"/>
    <w:rsid w:val="56D7644B"/>
    <w:rsid w:val="56E373D5"/>
    <w:rsid w:val="56E81FA0"/>
    <w:rsid w:val="56E84A97"/>
    <w:rsid w:val="56F05010"/>
    <w:rsid w:val="56FB2A68"/>
    <w:rsid w:val="57011F3E"/>
    <w:rsid w:val="57050D7B"/>
    <w:rsid w:val="5705646B"/>
    <w:rsid w:val="57060649"/>
    <w:rsid w:val="572657E3"/>
    <w:rsid w:val="5732705F"/>
    <w:rsid w:val="57351D6F"/>
    <w:rsid w:val="573B7F99"/>
    <w:rsid w:val="576476C1"/>
    <w:rsid w:val="576E1940"/>
    <w:rsid w:val="57756BF9"/>
    <w:rsid w:val="57770501"/>
    <w:rsid w:val="577B3337"/>
    <w:rsid w:val="577D4F28"/>
    <w:rsid w:val="578B1816"/>
    <w:rsid w:val="57A33734"/>
    <w:rsid w:val="57AB6ADD"/>
    <w:rsid w:val="57B7178E"/>
    <w:rsid w:val="57B76EED"/>
    <w:rsid w:val="57BD72A7"/>
    <w:rsid w:val="57BE5838"/>
    <w:rsid w:val="57BF764E"/>
    <w:rsid w:val="57CB35DF"/>
    <w:rsid w:val="57D82354"/>
    <w:rsid w:val="57F05993"/>
    <w:rsid w:val="57FC0156"/>
    <w:rsid w:val="57FC07D9"/>
    <w:rsid w:val="57FF6992"/>
    <w:rsid w:val="58036FF1"/>
    <w:rsid w:val="580F1B21"/>
    <w:rsid w:val="581B7E79"/>
    <w:rsid w:val="5837438C"/>
    <w:rsid w:val="58420FA1"/>
    <w:rsid w:val="58500F22"/>
    <w:rsid w:val="58587379"/>
    <w:rsid w:val="585D72B5"/>
    <w:rsid w:val="586D57A3"/>
    <w:rsid w:val="587917A0"/>
    <w:rsid w:val="587A4288"/>
    <w:rsid w:val="587B39E5"/>
    <w:rsid w:val="5880052B"/>
    <w:rsid w:val="588E3967"/>
    <w:rsid w:val="589E7444"/>
    <w:rsid w:val="58AD27D9"/>
    <w:rsid w:val="58B169A2"/>
    <w:rsid w:val="58B9636C"/>
    <w:rsid w:val="58C37133"/>
    <w:rsid w:val="58C93046"/>
    <w:rsid w:val="58D36BCB"/>
    <w:rsid w:val="58D8157C"/>
    <w:rsid w:val="58E11166"/>
    <w:rsid w:val="58E60CD3"/>
    <w:rsid w:val="58E6349C"/>
    <w:rsid w:val="58E83DEC"/>
    <w:rsid w:val="58EF63EE"/>
    <w:rsid w:val="590317F0"/>
    <w:rsid w:val="59075000"/>
    <w:rsid w:val="593559FD"/>
    <w:rsid w:val="593A4D15"/>
    <w:rsid w:val="594079B2"/>
    <w:rsid w:val="595B45EE"/>
    <w:rsid w:val="595C4A81"/>
    <w:rsid w:val="596A688E"/>
    <w:rsid w:val="59860400"/>
    <w:rsid w:val="5987482A"/>
    <w:rsid w:val="598A58C2"/>
    <w:rsid w:val="598C6F19"/>
    <w:rsid w:val="599C49A8"/>
    <w:rsid w:val="59A252D5"/>
    <w:rsid w:val="59A36725"/>
    <w:rsid w:val="59AD4E2E"/>
    <w:rsid w:val="59B14918"/>
    <w:rsid w:val="59B21BF9"/>
    <w:rsid w:val="59B37D53"/>
    <w:rsid w:val="59B80C41"/>
    <w:rsid w:val="59BB4EA3"/>
    <w:rsid w:val="59E9525B"/>
    <w:rsid w:val="59F70BAF"/>
    <w:rsid w:val="5A0627A6"/>
    <w:rsid w:val="5A297D0D"/>
    <w:rsid w:val="5A3C0F08"/>
    <w:rsid w:val="5A3E5B83"/>
    <w:rsid w:val="5A50588C"/>
    <w:rsid w:val="5A5663A3"/>
    <w:rsid w:val="5A5706C7"/>
    <w:rsid w:val="5A571746"/>
    <w:rsid w:val="5A594793"/>
    <w:rsid w:val="5A5B6E89"/>
    <w:rsid w:val="5A6253E3"/>
    <w:rsid w:val="5A641DE9"/>
    <w:rsid w:val="5A746DF6"/>
    <w:rsid w:val="5A8E6670"/>
    <w:rsid w:val="5A912613"/>
    <w:rsid w:val="5A9245E9"/>
    <w:rsid w:val="5A953D41"/>
    <w:rsid w:val="5AA12940"/>
    <w:rsid w:val="5AA75D85"/>
    <w:rsid w:val="5AB7299D"/>
    <w:rsid w:val="5ABC50F4"/>
    <w:rsid w:val="5ACC4940"/>
    <w:rsid w:val="5ACD3CD2"/>
    <w:rsid w:val="5AD7333E"/>
    <w:rsid w:val="5AD86A6D"/>
    <w:rsid w:val="5ADF4325"/>
    <w:rsid w:val="5AE8708E"/>
    <w:rsid w:val="5AEB6283"/>
    <w:rsid w:val="5AEC14F6"/>
    <w:rsid w:val="5AF124A4"/>
    <w:rsid w:val="5B0A4D6B"/>
    <w:rsid w:val="5B141085"/>
    <w:rsid w:val="5B266C40"/>
    <w:rsid w:val="5B28192B"/>
    <w:rsid w:val="5B342BAD"/>
    <w:rsid w:val="5B392581"/>
    <w:rsid w:val="5B4007EF"/>
    <w:rsid w:val="5B4D1F7C"/>
    <w:rsid w:val="5B51561D"/>
    <w:rsid w:val="5B570E24"/>
    <w:rsid w:val="5B607711"/>
    <w:rsid w:val="5B637E94"/>
    <w:rsid w:val="5B66707B"/>
    <w:rsid w:val="5B673066"/>
    <w:rsid w:val="5B6A48A8"/>
    <w:rsid w:val="5B731FA9"/>
    <w:rsid w:val="5B7400F5"/>
    <w:rsid w:val="5B785E83"/>
    <w:rsid w:val="5B7C1CD1"/>
    <w:rsid w:val="5B9004A9"/>
    <w:rsid w:val="5B907C6C"/>
    <w:rsid w:val="5B9251EF"/>
    <w:rsid w:val="5BAB5BC4"/>
    <w:rsid w:val="5BAC79AD"/>
    <w:rsid w:val="5BB20B74"/>
    <w:rsid w:val="5BB33170"/>
    <w:rsid w:val="5BC677D8"/>
    <w:rsid w:val="5BD0669E"/>
    <w:rsid w:val="5BEB0120"/>
    <w:rsid w:val="5BEC175C"/>
    <w:rsid w:val="5BEF3E44"/>
    <w:rsid w:val="5BEF69FF"/>
    <w:rsid w:val="5C053E62"/>
    <w:rsid w:val="5C064BA0"/>
    <w:rsid w:val="5C07067E"/>
    <w:rsid w:val="5C075BB6"/>
    <w:rsid w:val="5C097C4E"/>
    <w:rsid w:val="5C1A3A93"/>
    <w:rsid w:val="5C1C3059"/>
    <w:rsid w:val="5C235386"/>
    <w:rsid w:val="5C2A4E9F"/>
    <w:rsid w:val="5C37782E"/>
    <w:rsid w:val="5C3B6CFC"/>
    <w:rsid w:val="5C4735D5"/>
    <w:rsid w:val="5C4C2CF4"/>
    <w:rsid w:val="5C5E6BCC"/>
    <w:rsid w:val="5C6B1600"/>
    <w:rsid w:val="5C6E26BF"/>
    <w:rsid w:val="5C706511"/>
    <w:rsid w:val="5C7D70D1"/>
    <w:rsid w:val="5C8542A8"/>
    <w:rsid w:val="5C93251D"/>
    <w:rsid w:val="5CA6294E"/>
    <w:rsid w:val="5CCC1DEC"/>
    <w:rsid w:val="5CDB3358"/>
    <w:rsid w:val="5CED4E0C"/>
    <w:rsid w:val="5CEE1DD1"/>
    <w:rsid w:val="5CFB31F2"/>
    <w:rsid w:val="5CFF09AB"/>
    <w:rsid w:val="5D034EE9"/>
    <w:rsid w:val="5D0366E8"/>
    <w:rsid w:val="5D08684C"/>
    <w:rsid w:val="5D0A06B6"/>
    <w:rsid w:val="5D1307E8"/>
    <w:rsid w:val="5D212A05"/>
    <w:rsid w:val="5D28584C"/>
    <w:rsid w:val="5D2F4802"/>
    <w:rsid w:val="5D32239D"/>
    <w:rsid w:val="5D3444E6"/>
    <w:rsid w:val="5D3543FB"/>
    <w:rsid w:val="5D3F0BDF"/>
    <w:rsid w:val="5D5B7098"/>
    <w:rsid w:val="5D5D62C9"/>
    <w:rsid w:val="5D611B66"/>
    <w:rsid w:val="5D634782"/>
    <w:rsid w:val="5D654194"/>
    <w:rsid w:val="5D6E1B86"/>
    <w:rsid w:val="5D725A84"/>
    <w:rsid w:val="5D746389"/>
    <w:rsid w:val="5D7706E8"/>
    <w:rsid w:val="5D7D3801"/>
    <w:rsid w:val="5D8A2CFF"/>
    <w:rsid w:val="5D960EE9"/>
    <w:rsid w:val="5D9A0CFA"/>
    <w:rsid w:val="5D9B296A"/>
    <w:rsid w:val="5D9C251B"/>
    <w:rsid w:val="5DA53D05"/>
    <w:rsid w:val="5DB33A5E"/>
    <w:rsid w:val="5DB765B6"/>
    <w:rsid w:val="5DC848B4"/>
    <w:rsid w:val="5DD14397"/>
    <w:rsid w:val="5DD3123F"/>
    <w:rsid w:val="5DD45E00"/>
    <w:rsid w:val="5DD564E5"/>
    <w:rsid w:val="5DD71C7A"/>
    <w:rsid w:val="5DD734EC"/>
    <w:rsid w:val="5DDA4F5F"/>
    <w:rsid w:val="5DDF6E6E"/>
    <w:rsid w:val="5DEC05A1"/>
    <w:rsid w:val="5DEE0433"/>
    <w:rsid w:val="5DFD51DB"/>
    <w:rsid w:val="5E0B017F"/>
    <w:rsid w:val="5E0B0848"/>
    <w:rsid w:val="5E1D4A67"/>
    <w:rsid w:val="5E1F2E4C"/>
    <w:rsid w:val="5E237029"/>
    <w:rsid w:val="5E3358BB"/>
    <w:rsid w:val="5E3A3BD1"/>
    <w:rsid w:val="5E4E2212"/>
    <w:rsid w:val="5E4F1C2F"/>
    <w:rsid w:val="5E4F4B48"/>
    <w:rsid w:val="5E5203B8"/>
    <w:rsid w:val="5E53474B"/>
    <w:rsid w:val="5E5D2503"/>
    <w:rsid w:val="5E5D7D0E"/>
    <w:rsid w:val="5E603923"/>
    <w:rsid w:val="5E6A5399"/>
    <w:rsid w:val="5E71373F"/>
    <w:rsid w:val="5E717191"/>
    <w:rsid w:val="5E7435D2"/>
    <w:rsid w:val="5E830708"/>
    <w:rsid w:val="5E831398"/>
    <w:rsid w:val="5E85633A"/>
    <w:rsid w:val="5E921A45"/>
    <w:rsid w:val="5E975993"/>
    <w:rsid w:val="5EA75DFF"/>
    <w:rsid w:val="5EB51FDE"/>
    <w:rsid w:val="5EBA4472"/>
    <w:rsid w:val="5EC3227D"/>
    <w:rsid w:val="5EC504C9"/>
    <w:rsid w:val="5EC93320"/>
    <w:rsid w:val="5ECA3D37"/>
    <w:rsid w:val="5EE153F8"/>
    <w:rsid w:val="5EE836CB"/>
    <w:rsid w:val="5EEA322F"/>
    <w:rsid w:val="5EED7893"/>
    <w:rsid w:val="5EF427A1"/>
    <w:rsid w:val="5EFB2125"/>
    <w:rsid w:val="5EFB6F0A"/>
    <w:rsid w:val="5F0A3A61"/>
    <w:rsid w:val="5F114A3D"/>
    <w:rsid w:val="5F3370DF"/>
    <w:rsid w:val="5F683B6E"/>
    <w:rsid w:val="5F684490"/>
    <w:rsid w:val="5F697EE8"/>
    <w:rsid w:val="5F6D06D6"/>
    <w:rsid w:val="5F6E768C"/>
    <w:rsid w:val="5F875C0C"/>
    <w:rsid w:val="5F8A0701"/>
    <w:rsid w:val="5F8F0B9E"/>
    <w:rsid w:val="5F8F267A"/>
    <w:rsid w:val="5F941274"/>
    <w:rsid w:val="5F99518A"/>
    <w:rsid w:val="5F9A540B"/>
    <w:rsid w:val="5FAB7F08"/>
    <w:rsid w:val="5FB7185B"/>
    <w:rsid w:val="5FB94C48"/>
    <w:rsid w:val="5FBE576C"/>
    <w:rsid w:val="5FDE327E"/>
    <w:rsid w:val="5FE11DB4"/>
    <w:rsid w:val="5FEB4E90"/>
    <w:rsid w:val="5FF37587"/>
    <w:rsid w:val="5FF85D1E"/>
    <w:rsid w:val="5FFE57B7"/>
    <w:rsid w:val="60060CD5"/>
    <w:rsid w:val="60085AA3"/>
    <w:rsid w:val="600E362B"/>
    <w:rsid w:val="60183392"/>
    <w:rsid w:val="601A4CB1"/>
    <w:rsid w:val="601B56CB"/>
    <w:rsid w:val="60237FFC"/>
    <w:rsid w:val="602C236D"/>
    <w:rsid w:val="603114E4"/>
    <w:rsid w:val="603967D7"/>
    <w:rsid w:val="603D3325"/>
    <w:rsid w:val="604040A8"/>
    <w:rsid w:val="60470CE3"/>
    <w:rsid w:val="604775D7"/>
    <w:rsid w:val="60485D19"/>
    <w:rsid w:val="604D29BA"/>
    <w:rsid w:val="606711B4"/>
    <w:rsid w:val="60673C40"/>
    <w:rsid w:val="606A52D4"/>
    <w:rsid w:val="606C5678"/>
    <w:rsid w:val="60786184"/>
    <w:rsid w:val="607A0897"/>
    <w:rsid w:val="607C3753"/>
    <w:rsid w:val="607F6EAB"/>
    <w:rsid w:val="60824F37"/>
    <w:rsid w:val="608D1D4E"/>
    <w:rsid w:val="608D5C53"/>
    <w:rsid w:val="60911FEF"/>
    <w:rsid w:val="60923D36"/>
    <w:rsid w:val="6092569C"/>
    <w:rsid w:val="609D0F5A"/>
    <w:rsid w:val="60AC72CC"/>
    <w:rsid w:val="60AD0357"/>
    <w:rsid w:val="60B004BE"/>
    <w:rsid w:val="60B6381B"/>
    <w:rsid w:val="60BA604C"/>
    <w:rsid w:val="60BE348E"/>
    <w:rsid w:val="60C302BA"/>
    <w:rsid w:val="60C30855"/>
    <w:rsid w:val="60C338B1"/>
    <w:rsid w:val="60D4742F"/>
    <w:rsid w:val="60D67C80"/>
    <w:rsid w:val="60D95276"/>
    <w:rsid w:val="60E06DEB"/>
    <w:rsid w:val="60E51841"/>
    <w:rsid w:val="61110088"/>
    <w:rsid w:val="611647A0"/>
    <w:rsid w:val="611D54C0"/>
    <w:rsid w:val="61421EFD"/>
    <w:rsid w:val="614F6F7E"/>
    <w:rsid w:val="615C5041"/>
    <w:rsid w:val="61640524"/>
    <w:rsid w:val="617A6EE7"/>
    <w:rsid w:val="617B616B"/>
    <w:rsid w:val="6182260C"/>
    <w:rsid w:val="6190565E"/>
    <w:rsid w:val="61AA2608"/>
    <w:rsid w:val="61AD68BC"/>
    <w:rsid w:val="61AE786E"/>
    <w:rsid w:val="61B173D2"/>
    <w:rsid w:val="61B25E8F"/>
    <w:rsid w:val="61BC4BE1"/>
    <w:rsid w:val="61C12DE2"/>
    <w:rsid w:val="61D43A2B"/>
    <w:rsid w:val="61E34474"/>
    <w:rsid w:val="61ED6D6A"/>
    <w:rsid w:val="61FF316E"/>
    <w:rsid w:val="62014BDB"/>
    <w:rsid w:val="621542CB"/>
    <w:rsid w:val="621C2930"/>
    <w:rsid w:val="62344A89"/>
    <w:rsid w:val="624263A2"/>
    <w:rsid w:val="625272C3"/>
    <w:rsid w:val="626A1B4F"/>
    <w:rsid w:val="62715337"/>
    <w:rsid w:val="6280204D"/>
    <w:rsid w:val="62875636"/>
    <w:rsid w:val="6290769B"/>
    <w:rsid w:val="62943D08"/>
    <w:rsid w:val="629718F1"/>
    <w:rsid w:val="62A05735"/>
    <w:rsid w:val="62A411F8"/>
    <w:rsid w:val="62A81A26"/>
    <w:rsid w:val="62B0109F"/>
    <w:rsid w:val="62BA7A46"/>
    <w:rsid w:val="62C376AC"/>
    <w:rsid w:val="62CE13CB"/>
    <w:rsid w:val="62D2197B"/>
    <w:rsid w:val="62DB028F"/>
    <w:rsid w:val="62EE4623"/>
    <w:rsid w:val="62F214BD"/>
    <w:rsid w:val="62F6011A"/>
    <w:rsid w:val="62FD2BA9"/>
    <w:rsid w:val="6327422B"/>
    <w:rsid w:val="6328597C"/>
    <w:rsid w:val="633B249F"/>
    <w:rsid w:val="633D1842"/>
    <w:rsid w:val="635123F0"/>
    <w:rsid w:val="63552D76"/>
    <w:rsid w:val="6359778B"/>
    <w:rsid w:val="635B63E3"/>
    <w:rsid w:val="63677698"/>
    <w:rsid w:val="63771D13"/>
    <w:rsid w:val="638C3395"/>
    <w:rsid w:val="63B37325"/>
    <w:rsid w:val="63B82D87"/>
    <w:rsid w:val="63BA3154"/>
    <w:rsid w:val="63C509F9"/>
    <w:rsid w:val="63CA2E8B"/>
    <w:rsid w:val="63CF097D"/>
    <w:rsid w:val="63D4153E"/>
    <w:rsid w:val="63DA0FA3"/>
    <w:rsid w:val="63DC7755"/>
    <w:rsid w:val="63E43D21"/>
    <w:rsid w:val="63E774B3"/>
    <w:rsid w:val="63F47D2A"/>
    <w:rsid w:val="63F6335E"/>
    <w:rsid w:val="63FE2D33"/>
    <w:rsid w:val="64046427"/>
    <w:rsid w:val="640B5788"/>
    <w:rsid w:val="642369FC"/>
    <w:rsid w:val="64254882"/>
    <w:rsid w:val="64264A79"/>
    <w:rsid w:val="642A38B2"/>
    <w:rsid w:val="64304E58"/>
    <w:rsid w:val="64311867"/>
    <w:rsid w:val="64391ED3"/>
    <w:rsid w:val="6445632E"/>
    <w:rsid w:val="64566F9D"/>
    <w:rsid w:val="64596CB3"/>
    <w:rsid w:val="64742B63"/>
    <w:rsid w:val="647949B0"/>
    <w:rsid w:val="647E661E"/>
    <w:rsid w:val="648939AA"/>
    <w:rsid w:val="648C635C"/>
    <w:rsid w:val="64941876"/>
    <w:rsid w:val="649B1AC2"/>
    <w:rsid w:val="649B4C1C"/>
    <w:rsid w:val="64A7467B"/>
    <w:rsid w:val="64B53322"/>
    <w:rsid w:val="64C41B57"/>
    <w:rsid w:val="64C61AF8"/>
    <w:rsid w:val="64C86505"/>
    <w:rsid w:val="64E65F95"/>
    <w:rsid w:val="64EB5728"/>
    <w:rsid w:val="64F92488"/>
    <w:rsid w:val="64FA211B"/>
    <w:rsid w:val="64FB4412"/>
    <w:rsid w:val="64FE700F"/>
    <w:rsid w:val="6500327F"/>
    <w:rsid w:val="6503698F"/>
    <w:rsid w:val="6506609B"/>
    <w:rsid w:val="65083216"/>
    <w:rsid w:val="650A57D3"/>
    <w:rsid w:val="65460728"/>
    <w:rsid w:val="654835A8"/>
    <w:rsid w:val="654C7056"/>
    <w:rsid w:val="65733E15"/>
    <w:rsid w:val="65822810"/>
    <w:rsid w:val="65870C45"/>
    <w:rsid w:val="658F6B54"/>
    <w:rsid w:val="659705FF"/>
    <w:rsid w:val="659C60A2"/>
    <w:rsid w:val="65A47504"/>
    <w:rsid w:val="65AA6346"/>
    <w:rsid w:val="65B01B69"/>
    <w:rsid w:val="65B56C47"/>
    <w:rsid w:val="65B7794D"/>
    <w:rsid w:val="65B8262E"/>
    <w:rsid w:val="65BC15EE"/>
    <w:rsid w:val="65D23D59"/>
    <w:rsid w:val="65D4773F"/>
    <w:rsid w:val="65DC5939"/>
    <w:rsid w:val="65DC7985"/>
    <w:rsid w:val="65F14641"/>
    <w:rsid w:val="65F5655C"/>
    <w:rsid w:val="65F64F18"/>
    <w:rsid w:val="65FF118E"/>
    <w:rsid w:val="66052F43"/>
    <w:rsid w:val="66065483"/>
    <w:rsid w:val="6609487E"/>
    <w:rsid w:val="661D25CE"/>
    <w:rsid w:val="66206CF2"/>
    <w:rsid w:val="66265846"/>
    <w:rsid w:val="66287C9C"/>
    <w:rsid w:val="662E4097"/>
    <w:rsid w:val="664805B8"/>
    <w:rsid w:val="665572E9"/>
    <w:rsid w:val="665B14BD"/>
    <w:rsid w:val="665B55EA"/>
    <w:rsid w:val="66600F11"/>
    <w:rsid w:val="66641D58"/>
    <w:rsid w:val="66655F85"/>
    <w:rsid w:val="667C7AEC"/>
    <w:rsid w:val="667F71BA"/>
    <w:rsid w:val="66863A0F"/>
    <w:rsid w:val="66984358"/>
    <w:rsid w:val="669B7C76"/>
    <w:rsid w:val="66A200F8"/>
    <w:rsid w:val="66A205F5"/>
    <w:rsid w:val="66A30EC2"/>
    <w:rsid w:val="66AA4BA8"/>
    <w:rsid w:val="66B51E22"/>
    <w:rsid w:val="66C56058"/>
    <w:rsid w:val="66C955BD"/>
    <w:rsid w:val="66CF3182"/>
    <w:rsid w:val="66D97420"/>
    <w:rsid w:val="66DC317D"/>
    <w:rsid w:val="66DD5461"/>
    <w:rsid w:val="66E10E78"/>
    <w:rsid w:val="66E617C5"/>
    <w:rsid w:val="66E910C9"/>
    <w:rsid w:val="670C6D27"/>
    <w:rsid w:val="670D67CE"/>
    <w:rsid w:val="67105BAB"/>
    <w:rsid w:val="67150D42"/>
    <w:rsid w:val="671B1631"/>
    <w:rsid w:val="672C45D9"/>
    <w:rsid w:val="67302DC3"/>
    <w:rsid w:val="67316C6B"/>
    <w:rsid w:val="6734198F"/>
    <w:rsid w:val="674318B2"/>
    <w:rsid w:val="674D4B22"/>
    <w:rsid w:val="67570422"/>
    <w:rsid w:val="675D31B4"/>
    <w:rsid w:val="67611575"/>
    <w:rsid w:val="676D2F4B"/>
    <w:rsid w:val="677A266A"/>
    <w:rsid w:val="677C1A81"/>
    <w:rsid w:val="677E7198"/>
    <w:rsid w:val="678A426A"/>
    <w:rsid w:val="67914BE1"/>
    <w:rsid w:val="679305CA"/>
    <w:rsid w:val="679348FA"/>
    <w:rsid w:val="67A01F16"/>
    <w:rsid w:val="67A2026E"/>
    <w:rsid w:val="67AD0902"/>
    <w:rsid w:val="67B163D1"/>
    <w:rsid w:val="67B21931"/>
    <w:rsid w:val="67CF3BE0"/>
    <w:rsid w:val="67D1123C"/>
    <w:rsid w:val="67DE0B68"/>
    <w:rsid w:val="67F45538"/>
    <w:rsid w:val="67F67092"/>
    <w:rsid w:val="68005932"/>
    <w:rsid w:val="680239EB"/>
    <w:rsid w:val="680722DA"/>
    <w:rsid w:val="68075891"/>
    <w:rsid w:val="68096B99"/>
    <w:rsid w:val="681C6C95"/>
    <w:rsid w:val="682211D1"/>
    <w:rsid w:val="68445430"/>
    <w:rsid w:val="685B0620"/>
    <w:rsid w:val="685C6395"/>
    <w:rsid w:val="686318DD"/>
    <w:rsid w:val="68635145"/>
    <w:rsid w:val="686D19A4"/>
    <w:rsid w:val="687914A4"/>
    <w:rsid w:val="687F607E"/>
    <w:rsid w:val="6887281F"/>
    <w:rsid w:val="688B4E92"/>
    <w:rsid w:val="689565AD"/>
    <w:rsid w:val="689A41FB"/>
    <w:rsid w:val="689E57F0"/>
    <w:rsid w:val="68A34C5C"/>
    <w:rsid w:val="68CA6EAF"/>
    <w:rsid w:val="68D10697"/>
    <w:rsid w:val="68D507C6"/>
    <w:rsid w:val="68E24981"/>
    <w:rsid w:val="68E62C62"/>
    <w:rsid w:val="68ED60A5"/>
    <w:rsid w:val="69123F86"/>
    <w:rsid w:val="691C1D81"/>
    <w:rsid w:val="691C3525"/>
    <w:rsid w:val="691C4B46"/>
    <w:rsid w:val="69216128"/>
    <w:rsid w:val="69250799"/>
    <w:rsid w:val="69280874"/>
    <w:rsid w:val="692E74C3"/>
    <w:rsid w:val="69307671"/>
    <w:rsid w:val="695D6B21"/>
    <w:rsid w:val="69611EE7"/>
    <w:rsid w:val="69621F5B"/>
    <w:rsid w:val="696C708E"/>
    <w:rsid w:val="696F4D5D"/>
    <w:rsid w:val="69796AD5"/>
    <w:rsid w:val="69850877"/>
    <w:rsid w:val="698C13C5"/>
    <w:rsid w:val="69C12919"/>
    <w:rsid w:val="69EB1E1E"/>
    <w:rsid w:val="69F0745A"/>
    <w:rsid w:val="6A0D20F2"/>
    <w:rsid w:val="6A1757B7"/>
    <w:rsid w:val="6A1A2066"/>
    <w:rsid w:val="6A1D59EC"/>
    <w:rsid w:val="6A247F72"/>
    <w:rsid w:val="6A2E5EF8"/>
    <w:rsid w:val="6A3A6D15"/>
    <w:rsid w:val="6A3E2393"/>
    <w:rsid w:val="6A435B92"/>
    <w:rsid w:val="6A444DB8"/>
    <w:rsid w:val="6A471880"/>
    <w:rsid w:val="6A4C28F4"/>
    <w:rsid w:val="6A4D4828"/>
    <w:rsid w:val="6A516AC3"/>
    <w:rsid w:val="6A5303BA"/>
    <w:rsid w:val="6A5B28ED"/>
    <w:rsid w:val="6A677080"/>
    <w:rsid w:val="6A711183"/>
    <w:rsid w:val="6A720BCF"/>
    <w:rsid w:val="6A7B4B9C"/>
    <w:rsid w:val="6AAE7116"/>
    <w:rsid w:val="6AAF014C"/>
    <w:rsid w:val="6ABD60AB"/>
    <w:rsid w:val="6AC07690"/>
    <w:rsid w:val="6ACB082B"/>
    <w:rsid w:val="6AD3247E"/>
    <w:rsid w:val="6AE4699C"/>
    <w:rsid w:val="6AED1BE8"/>
    <w:rsid w:val="6AF00853"/>
    <w:rsid w:val="6AF317C6"/>
    <w:rsid w:val="6B004C6B"/>
    <w:rsid w:val="6B014632"/>
    <w:rsid w:val="6B0722BD"/>
    <w:rsid w:val="6B09696B"/>
    <w:rsid w:val="6B2B0EFD"/>
    <w:rsid w:val="6B2C13E4"/>
    <w:rsid w:val="6B2D2EEB"/>
    <w:rsid w:val="6B322952"/>
    <w:rsid w:val="6B410613"/>
    <w:rsid w:val="6B493E2C"/>
    <w:rsid w:val="6B4B0A4C"/>
    <w:rsid w:val="6B4B36C9"/>
    <w:rsid w:val="6B4E75E6"/>
    <w:rsid w:val="6B50310B"/>
    <w:rsid w:val="6B5045E2"/>
    <w:rsid w:val="6B5B3B9E"/>
    <w:rsid w:val="6B5C4553"/>
    <w:rsid w:val="6B692897"/>
    <w:rsid w:val="6B695848"/>
    <w:rsid w:val="6B6A1A57"/>
    <w:rsid w:val="6B6D1317"/>
    <w:rsid w:val="6B730045"/>
    <w:rsid w:val="6B736A2E"/>
    <w:rsid w:val="6B762264"/>
    <w:rsid w:val="6B7964E9"/>
    <w:rsid w:val="6B8642C7"/>
    <w:rsid w:val="6B874340"/>
    <w:rsid w:val="6B884219"/>
    <w:rsid w:val="6B90781F"/>
    <w:rsid w:val="6BA6663C"/>
    <w:rsid w:val="6BA9194F"/>
    <w:rsid w:val="6BB07973"/>
    <w:rsid w:val="6BCA7437"/>
    <w:rsid w:val="6BE71622"/>
    <w:rsid w:val="6BE727F5"/>
    <w:rsid w:val="6C001608"/>
    <w:rsid w:val="6C08064C"/>
    <w:rsid w:val="6C0858B3"/>
    <w:rsid w:val="6C132D21"/>
    <w:rsid w:val="6C14347F"/>
    <w:rsid w:val="6C240DF3"/>
    <w:rsid w:val="6C3977A7"/>
    <w:rsid w:val="6C45610F"/>
    <w:rsid w:val="6C59472D"/>
    <w:rsid w:val="6C5A4564"/>
    <w:rsid w:val="6C603744"/>
    <w:rsid w:val="6C635845"/>
    <w:rsid w:val="6C637CCF"/>
    <w:rsid w:val="6C6B4F91"/>
    <w:rsid w:val="6C7802EB"/>
    <w:rsid w:val="6C89456C"/>
    <w:rsid w:val="6C9143CB"/>
    <w:rsid w:val="6CA20D5B"/>
    <w:rsid w:val="6CA75F1D"/>
    <w:rsid w:val="6CAF7564"/>
    <w:rsid w:val="6CB71894"/>
    <w:rsid w:val="6CB91201"/>
    <w:rsid w:val="6CC13ACE"/>
    <w:rsid w:val="6CD63FB3"/>
    <w:rsid w:val="6CD73CDB"/>
    <w:rsid w:val="6CD91323"/>
    <w:rsid w:val="6CFE035F"/>
    <w:rsid w:val="6D056EA6"/>
    <w:rsid w:val="6D1766A9"/>
    <w:rsid w:val="6D19067C"/>
    <w:rsid w:val="6D1F423E"/>
    <w:rsid w:val="6D221E52"/>
    <w:rsid w:val="6D227835"/>
    <w:rsid w:val="6D231354"/>
    <w:rsid w:val="6D2834C8"/>
    <w:rsid w:val="6D2F1F0B"/>
    <w:rsid w:val="6D343A12"/>
    <w:rsid w:val="6D3C6626"/>
    <w:rsid w:val="6D5D0DB5"/>
    <w:rsid w:val="6D6855B1"/>
    <w:rsid w:val="6D6C5D15"/>
    <w:rsid w:val="6D7157A1"/>
    <w:rsid w:val="6D7B4AB7"/>
    <w:rsid w:val="6D836C02"/>
    <w:rsid w:val="6D89784B"/>
    <w:rsid w:val="6D8C7F73"/>
    <w:rsid w:val="6D9057BE"/>
    <w:rsid w:val="6D9E0566"/>
    <w:rsid w:val="6DBE7F27"/>
    <w:rsid w:val="6DC262E7"/>
    <w:rsid w:val="6DD70DD8"/>
    <w:rsid w:val="6DED1766"/>
    <w:rsid w:val="6DF43BD4"/>
    <w:rsid w:val="6E0E1FAB"/>
    <w:rsid w:val="6E2143FB"/>
    <w:rsid w:val="6E295363"/>
    <w:rsid w:val="6E317378"/>
    <w:rsid w:val="6E3A4724"/>
    <w:rsid w:val="6E3E5591"/>
    <w:rsid w:val="6E407C99"/>
    <w:rsid w:val="6E4215C6"/>
    <w:rsid w:val="6E4B0158"/>
    <w:rsid w:val="6E4D611F"/>
    <w:rsid w:val="6E567C9E"/>
    <w:rsid w:val="6E635028"/>
    <w:rsid w:val="6E636A71"/>
    <w:rsid w:val="6E68362E"/>
    <w:rsid w:val="6E685B0A"/>
    <w:rsid w:val="6E687486"/>
    <w:rsid w:val="6E73404A"/>
    <w:rsid w:val="6E7355AA"/>
    <w:rsid w:val="6E7D300B"/>
    <w:rsid w:val="6E823708"/>
    <w:rsid w:val="6E8A3EFB"/>
    <w:rsid w:val="6E920B5B"/>
    <w:rsid w:val="6E990B16"/>
    <w:rsid w:val="6E995AB6"/>
    <w:rsid w:val="6EA80CC5"/>
    <w:rsid w:val="6EB169D3"/>
    <w:rsid w:val="6EB21539"/>
    <w:rsid w:val="6EB829B1"/>
    <w:rsid w:val="6EB978A9"/>
    <w:rsid w:val="6EC7210B"/>
    <w:rsid w:val="6ECC3A24"/>
    <w:rsid w:val="6ED86D3E"/>
    <w:rsid w:val="6EE9744F"/>
    <w:rsid w:val="6EEC3F7C"/>
    <w:rsid w:val="6EF3602C"/>
    <w:rsid w:val="6EF65A2C"/>
    <w:rsid w:val="6EFE1485"/>
    <w:rsid w:val="6F0247B3"/>
    <w:rsid w:val="6F031F8E"/>
    <w:rsid w:val="6F09008D"/>
    <w:rsid w:val="6F0C735C"/>
    <w:rsid w:val="6F0D382C"/>
    <w:rsid w:val="6F2632E8"/>
    <w:rsid w:val="6F30363A"/>
    <w:rsid w:val="6F3316E5"/>
    <w:rsid w:val="6F3F40F9"/>
    <w:rsid w:val="6F424B2F"/>
    <w:rsid w:val="6F5E0205"/>
    <w:rsid w:val="6F632569"/>
    <w:rsid w:val="6F635644"/>
    <w:rsid w:val="6F635E50"/>
    <w:rsid w:val="6F6F14E1"/>
    <w:rsid w:val="6F76254B"/>
    <w:rsid w:val="6F7C40AC"/>
    <w:rsid w:val="6F8040F4"/>
    <w:rsid w:val="6F877B03"/>
    <w:rsid w:val="6F905BB3"/>
    <w:rsid w:val="6F9A3007"/>
    <w:rsid w:val="6FA629D4"/>
    <w:rsid w:val="6FA75ADB"/>
    <w:rsid w:val="6FB77ED4"/>
    <w:rsid w:val="6FBD3BBF"/>
    <w:rsid w:val="6FBD4D2F"/>
    <w:rsid w:val="6FBF4710"/>
    <w:rsid w:val="6FC9109F"/>
    <w:rsid w:val="6FCC6779"/>
    <w:rsid w:val="6FDB518F"/>
    <w:rsid w:val="6FE529ED"/>
    <w:rsid w:val="6FF733A7"/>
    <w:rsid w:val="70003DD9"/>
    <w:rsid w:val="70072915"/>
    <w:rsid w:val="70172090"/>
    <w:rsid w:val="70195E88"/>
    <w:rsid w:val="701D43BA"/>
    <w:rsid w:val="70216162"/>
    <w:rsid w:val="70291C03"/>
    <w:rsid w:val="702B6F43"/>
    <w:rsid w:val="7032079E"/>
    <w:rsid w:val="703C186A"/>
    <w:rsid w:val="704C34F0"/>
    <w:rsid w:val="70570007"/>
    <w:rsid w:val="705843B4"/>
    <w:rsid w:val="7058635C"/>
    <w:rsid w:val="70611FB0"/>
    <w:rsid w:val="70655A58"/>
    <w:rsid w:val="706A37E5"/>
    <w:rsid w:val="70822BAD"/>
    <w:rsid w:val="708746BC"/>
    <w:rsid w:val="708A15C0"/>
    <w:rsid w:val="708F7F54"/>
    <w:rsid w:val="709E3D85"/>
    <w:rsid w:val="70A36A35"/>
    <w:rsid w:val="70A708B1"/>
    <w:rsid w:val="70A97192"/>
    <w:rsid w:val="70AC660B"/>
    <w:rsid w:val="70B17138"/>
    <w:rsid w:val="70BB2EF0"/>
    <w:rsid w:val="70BC2801"/>
    <w:rsid w:val="70C6646C"/>
    <w:rsid w:val="70D82DC7"/>
    <w:rsid w:val="70E4685D"/>
    <w:rsid w:val="70FC2D1E"/>
    <w:rsid w:val="71014479"/>
    <w:rsid w:val="71015D6B"/>
    <w:rsid w:val="71067D7F"/>
    <w:rsid w:val="71071665"/>
    <w:rsid w:val="71115386"/>
    <w:rsid w:val="71126908"/>
    <w:rsid w:val="71151975"/>
    <w:rsid w:val="711D1189"/>
    <w:rsid w:val="712A2C1F"/>
    <w:rsid w:val="712A5215"/>
    <w:rsid w:val="712F2B3D"/>
    <w:rsid w:val="71336A65"/>
    <w:rsid w:val="713A6008"/>
    <w:rsid w:val="7144725F"/>
    <w:rsid w:val="71477B0C"/>
    <w:rsid w:val="7148395C"/>
    <w:rsid w:val="714B215B"/>
    <w:rsid w:val="714E2D72"/>
    <w:rsid w:val="71545B37"/>
    <w:rsid w:val="71570E43"/>
    <w:rsid w:val="71573E01"/>
    <w:rsid w:val="716F00B2"/>
    <w:rsid w:val="71702748"/>
    <w:rsid w:val="71867894"/>
    <w:rsid w:val="718E3AA9"/>
    <w:rsid w:val="71920F6D"/>
    <w:rsid w:val="7196106A"/>
    <w:rsid w:val="719E0160"/>
    <w:rsid w:val="719F7A78"/>
    <w:rsid w:val="71A03079"/>
    <w:rsid w:val="71AD22C0"/>
    <w:rsid w:val="71B623F6"/>
    <w:rsid w:val="71B84778"/>
    <w:rsid w:val="71C17B7E"/>
    <w:rsid w:val="71C7540C"/>
    <w:rsid w:val="71E857A5"/>
    <w:rsid w:val="71F64A63"/>
    <w:rsid w:val="71F870B8"/>
    <w:rsid w:val="71F9130C"/>
    <w:rsid w:val="72021233"/>
    <w:rsid w:val="720B2A1D"/>
    <w:rsid w:val="72197AB8"/>
    <w:rsid w:val="722D6444"/>
    <w:rsid w:val="7231773E"/>
    <w:rsid w:val="7234129A"/>
    <w:rsid w:val="72502F9F"/>
    <w:rsid w:val="7251515C"/>
    <w:rsid w:val="725817D3"/>
    <w:rsid w:val="726E6AD4"/>
    <w:rsid w:val="727C422C"/>
    <w:rsid w:val="7288329F"/>
    <w:rsid w:val="728D72D4"/>
    <w:rsid w:val="728E71EE"/>
    <w:rsid w:val="7292045A"/>
    <w:rsid w:val="72974DBE"/>
    <w:rsid w:val="72983FF8"/>
    <w:rsid w:val="72985E1E"/>
    <w:rsid w:val="72A20C20"/>
    <w:rsid w:val="72AC5E95"/>
    <w:rsid w:val="72BF43E3"/>
    <w:rsid w:val="72C13ED7"/>
    <w:rsid w:val="72CF1AC7"/>
    <w:rsid w:val="72D51F74"/>
    <w:rsid w:val="72DC0F93"/>
    <w:rsid w:val="72DD2607"/>
    <w:rsid w:val="72E42AFA"/>
    <w:rsid w:val="72E85578"/>
    <w:rsid w:val="72EB4466"/>
    <w:rsid w:val="72FD426E"/>
    <w:rsid w:val="73043CFC"/>
    <w:rsid w:val="7317244F"/>
    <w:rsid w:val="732B736C"/>
    <w:rsid w:val="732C334F"/>
    <w:rsid w:val="733501BF"/>
    <w:rsid w:val="734F0C79"/>
    <w:rsid w:val="734F4185"/>
    <w:rsid w:val="73520620"/>
    <w:rsid w:val="73536078"/>
    <w:rsid w:val="7363274A"/>
    <w:rsid w:val="73691A4A"/>
    <w:rsid w:val="7371152B"/>
    <w:rsid w:val="73777B4D"/>
    <w:rsid w:val="737920CD"/>
    <w:rsid w:val="738A6895"/>
    <w:rsid w:val="738D1AFA"/>
    <w:rsid w:val="73917325"/>
    <w:rsid w:val="7395427D"/>
    <w:rsid w:val="73AE5485"/>
    <w:rsid w:val="73B1087F"/>
    <w:rsid w:val="73BC7089"/>
    <w:rsid w:val="73BE7067"/>
    <w:rsid w:val="73E406FD"/>
    <w:rsid w:val="73E52294"/>
    <w:rsid w:val="73EC5464"/>
    <w:rsid w:val="73FF2D64"/>
    <w:rsid w:val="74137154"/>
    <w:rsid w:val="741819AA"/>
    <w:rsid w:val="7421310D"/>
    <w:rsid w:val="74257F79"/>
    <w:rsid w:val="74273820"/>
    <w:rsid w:val="7427471C"/>
    <w:rsid w:val="74281B3F"/>
    <w:rsid w:val="742D7CD7"/>
    <w:rsid w:val="74355B0B"/>
    <w:rsid w:val="743C33B0"/>
    <w:rsid w:val="743C7157"/>
    <w:rsid w:val="743C71DA"/>
    <w:rsid w:val="74405F97"/>
    <w:rsid w:val="74416F54"/>
    <w:rsid w:val="744B354F"/>
    <w:rsid w:val="7450294E"/>
    <w:rsid w:val="74510121"/>
    <w:rsid w:val="74543139"/>
    <w:rsid w:val="74672BF8"/>
    <w:rsid w:val="746B732F"/>
    <w:rsid w:val="746E18CB"/>
    <w:rsid w:val="746F3904"/>
    <w:rsid w:val="748D52FA"/>
    <w:rsid w:val="74993216"/>
    <w:rsid w:val="74A25132"/>
    <w:rsid w:val="74B44784"/>
    <w:rsid w:val="74B808BF"/>
    <w:rsid w:val="74C03187"/>
    <w:rsid w:val="74E427B4"/>
    <w:rsid w:val="74E4756E"/>
    <w:rsid w:val="74ED19FF"/>
    <w:rsid w:val="75084E8F"/>
    <w:rsid w:val="7509261E"/>
    <w:rsid w:val="75202656"/>
    <w:rsid w:val="752231CE"/>
    <w:rsid w:val="75276DE2"/>
    <w:rsid w:val="753F3D3B"/>
    <w:rsid w:val="754723D0"/>
    <w:rsid w:val="75482D09"/>
    <w:rsid w:val="75633812"/>
    <w:rsid w:val="756F29D2"/>
    <w:rsid w:val="75752B04"/>
    <w:rsid w:val="758849E0"/>
    <w:rsid w:val="758910BB"/>
    <w:rsid w:val="75920C70"/>
    <w:rsid w:val="75955DA9"/>
    <w:rsid w:val="759601E2"/>
    <w:rsid w:val="75977910"/>
    <w:rsid w:val="759F2A35"/>
    <w:rsid w:val="75AD4ED0"/>
    <w:rsid w:val="75B15C41"/>
    <w:rsid w:val="75CC5191"/>
    <w:rsid w:val="75CC694A"/>
    <w:rsid w:val="75D12923"/>
    <w:rsid w:val="75D173F4"/>
    <w:rsid w:val="75EA364B"/>
    <w:rsid w:val="75F20996"/>
    <w:rsid w:val="75F65644"/>
    <w:rsid w:val="75F96973"/>
    <w:rsid w:val="76035FE9"/>
    <w:rsid w:val="760A4340"/>
    <w:rsid w:val="76123E1D"/>
    <w:rsid w:val="761270F3"/>
    <w:rsid w:val="761724E5"/>
    <w:rsid w:val="762545DB"/>
    <w:rsid w:val="762A17C0"/>
    <w:rsid w:val="762B7A6C"/>
    <w:rsid w:val="762E6798"/>
    <w:rsid w:val="763E6F8E"/>
    <w:rsid w:val="76425118"/>
    <w:rsid w:val="764838B9"/>
    <w:rsid w:val="764B15DA"/>
    <w:rsid w:val="764C09B4"/>
    <w:rsid w:val="764F5A52"/>
    <w:rsid w:val="76521C57"/>
    <w:rsid w:val="766163C1"/>
    <w:rsid w:val="76665926"/>
    <w:rsid w:val="766A4A0D"/>
    <w:rsid w:val="767F0863"/>
    <w:rsid w:val="768C454B"/>
    <w:rsid w:val="7692667A"/>
    <w:rsid w:val="76982273"/>
    <w:rsid w:val="769A7352"/>
    <w:rsid w:val="769C4619"/>
    <w:rsid w:val="76A177B8"/>
    <w:rsid w:val="76A766BF"/>
    <w:rsid w:val="76AD2761"/>
    <w:rsid w:val="76B64E53"/>
    <w:rsid w:val="76B8001A"/>
    <w:rsid w:val="76B81599"/>
    <w:rsid w:val="76B97D11"/>
    <w:rsid w:val="76BB2F21"/>
    <w:rsid w:val="76BC314A"/>
    <w:rsid w:val="76C12918"/>
    <w:rsid w:val="76CC16BA"/>
    <w:rsid w:val="76CF29D3"/>
    <w:rsid w:val="76E91124"/>
    <w:rsid w:val="76EB0D11"/>
    <w:rsid w:val="76EC51FD"/>
    <w:rsid w:val="76F410B8"/>
    <w:rsid w:val="76F70779"/>
    <w:rsid w:val="76F71C30"/>
    <w:rsid w:val="77001F24"/>
    <w:rsid w:val="770A6C33"/>
    <w:rsid w:val="771A04D1"/>
    <w:rsid w:val="771B67DF"/>
    <w:rsid w:val="771E64D7"/>
    <w:rsid w:val="77240552"/>
    <w:rsid w:val="77272CAB"/>
    <w:rsid w:val="772B4341"/>
    <w:rsid w:val="7731599F"/>
    <w:rsid w:val="77451578"/>
    <w:rsid w:val="774963F2"/>
    <w:rsid w:val="77576666"/>
    <w:rsid w:val="77636E18"/>
    <w:rsid w:val="776564EF"/>
    <w:rsid w:val="776709A1"/>
    <w:rsid w:val="77674898"/>
    <w:rsid w:val="77692EA3"/>
    <w:rsid w:val="77695538"/>
    <w:rsid w:val="7773758E"/>
    <w:rsid w:val="77825248"/>
    <w:rsid w:val="7785098B"/>
    <w:rsid w:val="77870D91"/>
    <w:rsid w:val="778A3229"/>
    <w:rsid w:val="779258CC"/>
    <w:rsid w:val="7794068F"/>
    <w:rsid w:val="779418F6"/>
    <w:rsid w:val="779A012A"/>
    <w:rsid w:val="779A096B"/>
    <w:rsid w:val="779B52FF"/>
    <w:rsid w:val="779C011D"/>
    <w:rsid w:val="77A00E75"/>
    <w:rsid w:val="77A80D17"/>
    <w:rsid w:val="77B841F3"/>
    <w:rsid w:val="77C078B1"/>
    <w:rsid w:val="77CE7C36"/>
    <w:rsid w:val="77E537F1"/>
    <w:rsid w:val="77E66E3C"/>
    <w:rsid w:val="77E84D6F"/>
    <w:rsid w:val="77F3789A"/>
    <w:rsid w:val="77F70588"/>
    <w:rsid w:val="77F71324"/>
    <w:rsid w:val="78005A86"/>
    <w:rsid w:val="78011BF1"/>
    <w:rsid w:val="780326B9"/>
    <w:rsid w:val="780332E5"/>
    <w:rsid w:val="7804698A"/>
    <w:rsid w:val="7833711D"/>
    <w:rsid w:val="7834483F"/>
    <w:rsid w:val="78460D63"/>
    <w:rsid w:val="78497C2E"/>
    <w:rsid w:val="78502D35"/>
    <w:rsid w:val="7854087B"/>
    <w:rsid w:val="786A4053"/>
    <w:rsid w:val="78717849"/>
    <w:rsid w:val="78782A0D"/>
    <w:rsid w:val="78785A2F"/>
    <w:rsid w:val="787B5060"/>
    <w:rsid w:val="788720E7"/>
    <w:rsid w:val="788E1C96"/>
    <w:rsid w:val="78A90B04"/>
    <w:rsid w:val="78B0552C"/>
    <w:rsid w:val="78C34D95"/>
    <w:rsid w:val="78C53485"/>
    <w:rsid w:val="78C6693F"/>
    <w:rsid w:val="78C76A01"/>
    <w:rsid w:val="78C9386A"/>
    <w:rsid w:val="78DA30DC"/>
    <w:rsid w:val="78EB5FB1"/>
    <w:rsid w:val="78EC45D8"/>
    <w:rsid w:val="78EC6DF0"/>
    <w:rsid w:val="78F02AF8"/>
    <w:rsid w:val="78F5335B"/>
    <w:rsid w:val="78F554EB"/>
    <w:rsid w:val="78FF5EC9"/>
    <w:rsid w:val="791843E7"/>
    <w:rsid w:val="79233426"/>
    <w:rsid w:val="79260F03"/>
    <w:rsid w:val="792B77BF"/>
    <w:rsid w:val="792E73F2"/>
    <w:rsid w:val="79395A92"/>
    <w:rsid w:val="793C6522"/>
    <w:rsid w:val="794008FB"/>
    <w:rsid w:val="79412D41"/>
    <w:rsid w:val="79413CC6"/>
    <w:rsid w:val="794708D9"/>
    <w:rsid w:val="794B21A1"/>
    <w:rsid w:val="7964574A"/>
    <w:rsid w:val="79804706"/>
    <w:rsid w:val="79835FC2"/>
    <w:rsid w:val="79840597"/>
    <w:rsid w:val="79941CF2"/>
    <w:rsid w:val="79973382"/>
    <w:rsid w:val="79B4353E"/>
    <w:rsid w:val="79C07B43"/>
    <w:rsid w:val="79C832AC"/>
    <w:rsid w:val="79D33056"/>
    <w:rsid w:val="79D715DF"/>
    <w:rsid w:val="79D85AB0"/>
    <w:rsid w:val="79E16F93"/>
    <w:rsid w:val="79E701E5"/>
    <w:rsid w:val="79EC0256"/>
    <w:rsid w:val="79F60153"/>
    <w:rsid w:val="79FA15B1"/>
    <w:rsid w:val="79FB6E2C"/>
    <w:rsid w:val="79FF7B91"/>
    <w:rsid w:val="7A165123"/>
    <w:rsid w:val="7A36322F"/>
    <w:rsid w:val="7A431242"/>
    <w:rsid w:val="7A444657"/>
    <w:rsid w:val="7A4B3D21"/>
    <w:rsid w:val="7A4C2D60"/>
    <w:rsid w:val="7A5E0869"/>
    <w:rsid w:val="7A69432B"/>
    <w:rsid w:val="7A6E4BF5"/>
    <w:rsid w:val="7A6E5088"/>
    <w:rsid w:val="7A7F4A1E"/>
    <w:rsid w:val="7A8246BA"/>
    <w:rsid w:val="7A851D5D"/>
    <w:rsid w:val="7A8A2267"/>
    <w:rsid w:val="7AA07F3B"/>
    <w:rsid w:val="7AAF4757"/>
    <w:rsid w:val="7AB53126"/>
    <w:rsid w:val="7AB76FE8"/>
    <w:rsid w:val="7AB8122B"/>
    <w:rsid w:val="7ACC526F"/>
    <w:rsid w:val="7AD268E2"/>
    <w:rsid w:val="7ADC0B33"/>
    <w:rsid w:val="7AE14C19"/>
    <w:rsid w:val="7AE53859"/>
    <w:rsid w:val="7AE727D9"/>
    <w:rsid w:val="7AEA174E"/>
    <w:rsid w:val="7B05641A"/>
    <w:rsid w:val="7B0B692F"/>
    <w:rsid w:val="7B274176"/>
    <w:rsid w:val="7B3057E4"/>
    <w:rsid w:val="7B306163"/>
    <w:rsid w:val="7B364C38"/>
    <w:rsid w:val="7B3E17AA"/>
    <w:rsid w:val="7B401C79"/>
    <w:rsid w:val="7B440ED6"/>
    <w:rsid w:val="7B4678D7"/>
    <w:rsid w:val="7B4B2A93"/>
    <w:rsid w:val="7B516F3E"/>
    <w:rsid w:val="7B527515"/>
    <w:rsid w:val="7B78553B"/>
    <w:rsid w:val="7B786809"/>
    <w:rsid w:val="7B7A004F"/>
    <w:rsid w:val="7B890A24"/>
    <w:rsid w:val="7B8A4A8A"/>
    <w:rsid w:val="7BAA485C"/>
    <w:rsid w:val="7BAD1591"/>
    <w:rsid w:val="7BCD64C2"/>
    <w:rsid w:val="7BD3716B"/>
    <w:rsid w:val="7BEC2711"/>
    <w:rsid w:val="7BF55850"/>
    <w:rsid w:val="7C1054B7"/>
    <w:rsid w:val="7C131E53"/>
    <w:rsid w:val="7C261982"/>
    <w:rsid w:val="7C26369C"/>
    <w:rsid w:val="7C2A465C"/>
    <w:rsid w:val="7C2E06D8"/>
    <w:rsid w:val="7C305879"/>
    <w:rsid w:val="7C34521A"/>
    <w:rsid w:val="7C4067F6"/>
    <w:rsid w:val="7C417F31"/>
    <w:rsid w:val="7C4674BA"/>
    <w:rsid w:val="7C4A2BD1"/>
    <w:rsid w:val="7C4C0053"/>
    <w:rsid w:val="7C576C70"/>
    <w:rsid w:val="7C6E4349"/>
    <w:rsid w:val="7C77043F"/>
    <w:rsid w:val="7C8A7CDC"/>
    <w:rsid w:val="7C9B5288"/>
    <w:rsid w:val="7C9E5A24"/>
    <w:rsid w:val="7CA745A1"/>
    <w:rsid w:val="7CAF4DCB"/>
    <w:rsid w:val="7CB4006B"/>
    <w:rsid w:val="7CB93ABB"/>
    <w:rsid w:val="7CC475DB"/>
    <w:rsid w:val="7CCA4C41"/>
    <w:rsid w:val="7CD36BD6"/>
    <w:rsid w:val="7CDE3831"/>
    <w:rsid w:val="7CE05980"/>
    <w:rsid w:val="7CE656F0"/>
    <w:rsid w:val="7CED34FF"/>
    <w:rsid w:val="7CEE5458"/>
    <w:rsid w:val="7CF26588"/>
    <w:rsid w:val="7CF565D7"/>
    <w:rsid w:val="7CF7605D"/>
    <w:rsid w:val="7CF867A7"/>
    <w:rsid w:val="7CFA3A46"/>
    <w:rsid w:val="7CFC78A1"/>
    <w:rsid w:val="7D0F5720"/>
    <w:rsid w:val="7D186F3E"/>
    <w:rsid w:val="7D24652E"/>
    <w:rsid w:val="7D2561FD"/>
    <w:rsid w:val="7D2E198F"/>
    <w:rsid w:val="7D342E03"/>
    <w:rsid w:val="7D355821"/>
    <w:rsid w:val="7D3B3737"/>
    <w:rsid w:val="7D3D73AF"/>
    <w:rsid w:val="7D3F6E5D"/>
    <w:rsid w:val="7D5052A6"/>
    <w:rsid w:val="7D514310"/>
    <w:rsid w:val="7D5B27C9"/>
    <w:rsid w:val="7D62117D"/>
    <w:rsid w:val="7D6B7F02"/>
    <w:rsid w:val="7D834A16"/>
    <w:rsid w:val="7D9B14E6"/>
    <w:rsid w:val="7D9D0A97"/>
    <w:rsid w:val="7D9D438F"/>
    <w:rsid w:val="7DA514D2"/>
    <w:rsid w:val="7DAE6BE3"/>
    <w:rsid w:val="7DCD1A27"/>
    <w:rsid w:val="7DCD4EB5"/>
    <w:rsid w:val="7DDF20BC"/>
    <w:rsid w:val="7DE07962"/>
    <w:rsid w:val="7DE34955"/>
    <w:rsid w:val="7DF07935"/>
    <w:rsid w:val="7DFF1E31"/>
    <w:rsid w:val="7E0565CD"/>
    <w:rsid w:val="7E090313"/>
    <w:rsid w:val="7E097A5B"/>
    <w:rsid w:val="7E3E0FEC"/>
    <w:rsid w:val="7E3E1EF2"/>
    <w:rsid w:val="7E566EA2"/>
    <w:rsid w:val="7E5B15D2"/>
    <w:rsid w:val="7E5B76B4"/>
    <w:rsid w:val="7E5C1ABA"/>
    <w:rsid w:val="7E61281D"/>
    <w:rsid w:val="7E622778"/>
    <w:rsid w:val="7E726401"/>
    <w:rsid w:val="7E756346"/>
    <w:rsid w:val="7E7D055C"/>
    <w:rsid w:val="7E8104AE"/>
    <w:rsid w:val="7E85174A"/>
    <w:rsid w:val="7E8B68B9"/>
    <w:rsid w:val="7EA77314"/>
    <w:rsid w:val="7EAA7C26"/>
    <w:rsid w:val="7EAF1FAA"/>
    <w:rsid w:val="7EB4653A"/>
    <w:rsid w:val="7EBD44C4"/>
    <w:rsid w:val="7EC478B9"/>
    <w:rsid w:val="7ECA4601"/>
    <w:rsid w:val="7ECE7C95"/>
    <w:rsid w:val="7EDC22AD"/>
    <w:rsid w:val="7EDE4C34"/>
    <w:rsid w:val="7EE34086"/>
    <w:rsid w:val="7EE55F89"/>
    <w:rsid w:val="7EEB5719"/>
    <w:rsid w:val="7EF215E8"/>
    <w:rsid w:val="7EF525E1"/>
    <w:rsid w:val="7EF74FC9"/>
    <w:rsid w:val="7F000B6A"/>
    <w:rsid w:val="7F0178C5"/>
    <w:rsid w:val="7F022EBD"/>
    <w:rsid w:val="7F023C17"/>
    <w:rsid w:val="7F033852"/>
    <w:rsid w:val="7F0B5962"/>
    <w:rsid w:val="7F0C2035"/>
    <w:rsid w:val="7F0F0FAF"/>
    <w:rsid w:val="7F0F7992"/>
    <w:rsid w:val="7F1B0865"/>
    <w:rsid w:val="7F271AA3"/>
    <w:rsid w:val="7F354370"/>
    <w:rsid w:val="7F397345"/>
    <w:rsid w:val="7F4D1868"/>
    <w:rsid w:val="7F4D3BF2"/>
    <w:rsid w:val="7F542B37"/>
    <w:rsid w:val="7F57085D"/>
    <w:rsid w:val="7F630EB2"/>
    <w:rsid w:val="7F6A77AB"/>
    <w:rsid w:val="7F6B2248"/>
    <w:rsid w:val="7F725E7C"/>
    <w:rsid w:val="7F761ADC"/>
    <w:rsid w:val="7F7D7A8E"/>
    <w:rsid w:val="7F872588"/>
    <w:rsid w:val="7F8725BA"/>
    <w:rsid w:val="7F8C6A8F"/>
    <w:rsid w:val="7F994DB5"/>
    <w:rsid w:val="7F9C175D"/>
    <w:rsid w:val="7F9F773D"/>
    <w:rsid w:val="7FA85877"/>
    <w:rsid w:val="7FAB3A81"/>
    <w:rsid w:val="7FBE6C35"/>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3"/>
      </w:numPr>
    </w:pPr>
    <w:rPr>
      <w:rFonts w:eastAsiaTheme="minorEastAsia"/>
      <w:b/>
      <w:bCs/>
      <w:i/>
      <w:iCs/>
      <w:sz w:val="20"/>
      <w:lang w:val="en-GB" w:eastAsia="en-US"/>
    </w:rPr>
  </w:style>
  <w:style w:type="paragraph" w:customStyle="1" w:styleId="32">
    <w:name w:val="YJ-Observation"/>
    <w:basedOn w:val="31"/>
    <w:qFormat/>
    <w:uiPriority w:val="0"/>
    <w:pPr>
      <w:numPr>
        <w:ilvl w:val="0"/>
        <w:numId w:val="4"/>
      </w:numPr>
      <w:tabs>
        <w:tab w:val="left" w:pos="420"/>
      </w:tabs>
    </w:pPr>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6"/>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2"/>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Times New Roman" w:hAnsi="Times New Roman" w:eastAsia="MS Mincho"/>
      <w:b/>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font31"/>
    <w:basedOn w:val="25"/>
    <w:qFormat/>
    <w:uiPriority w:val="0"/>
    <w:rPr>
      <w:rFonts w:ascii="TimesNewRomanPS-ItalicMT" w:hAnsi="TimesNewRomanPS-ItalicMT" w:eastAsia="TimesNewRomanPS-ItalicMT" w:cs="TimesNewRomanPS-ItalicMT"/>
      <w:i/>
      <w:iCs/>
      <w:color w:val="000000"/>
      <w:sz w:val="22"/>
      <w:szCs w:val="22"/>
      <w:u w:val="none"/>
    </w:rPr>
  </w:style>
  <w:style w:type="character" w:customStyle="1" w:styleId="77">
    <w:name w:val="font41"/>
    <w:basedOn w:val="25"/>
    <w:qFormat/>
    <w:uiPriority w:val="0"/>
    <w:rPr>
      <w:rFonts w:hint="default" w:ascii="TimesNewRomanPS-ItalicMT" w:hAnsi="TimesNewRomanPS-ItalicMT" w:eastAsia="TimesNewRomanPS-ItalicMT" w:cs="TimesNewRomanPS-ItalicMT"/>
      <w:i/>
      <w:iCs/>
      <w:color w:val="000000"/>
      <w:sz w:val="18"/>
      <w:szCs w:val="18"/>
      <w:u w:val="none"/>
    </w:rPr>
  </w:style>
  <w:style w:type="character" w:customStyle="1" w:styleId="78">
    <w:name w:val="font11"/>
    <w:basedOn w:val="25"/>
    <w:qFormat/>
    <w:uiPriority w:val="0"/>
    <w:rPr>
      <w:rFonts w:ascii="Symbol" w:hAnsi="Symbol" w:cs="Symbol"/>
      <w:color w:val="000000"/>
      <w:sz w:val="24"/>
      <w:szCs w:val="24"/>
      <w:u w:val="none"/>
    </w:rPr>
  </w:style>
  <w:style w:type="table" w:customStyle="1" w:styleId="79">
    <w:name w:val="TableGrid3"/>
    <w:basedOn w:val="23"/>
    <w:qFormat/>
    <w:uiPriority w:val="39"/>
    <w:rPr>
      <w:rFonts w:eastAsia="PMingLiU"/>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
    <w:name w:val="TableGrid4"/>
    <w:basedOn w:val="23"/>
    <w:qFormat/>
    <w:uiPriority w:val="39"/>
    <w:rPr>
      <w:rFonts w:eastAsia="PMingLiU"/>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2024-11-08T07:16:25Z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7FC60AB734954F8EA8FF3592F624D33C</vt:lpwstr>
  </property>
</Properties>
</file>